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5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41"/>
        <w:gridCol w:w="2694"/>
        <w:gridCol w:w="2126"/>
        <w:gridCol w:w="425"/>
        <w:gridCol w:w="709"/>
        <w:gridCol w:w="185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8"/>
                <w:szCs w:val="28"/>
                <w:rtl w:val="0"/>
                <w:lang w:val="es-ES_tradnl"/>
              </w:rPr>
              <w:t>PROGRAMA DE CURSO</w:t>
            </w:r>
          </w:p>
        </w:tc>
      </w:tr>
      <w:tr>
        <w:tblPrEx>
          <w:shd w:val="clear" w:color="auto" w:fill="ced7e7"/>
        </w:tblPrEx>
        <w:trPr>
          <w:trHeight w:val="1230" w:hRule="atLeast"/>
        </w:trPr>
        <w:tc>
          <w:tcPr>
            <w:tcW w:type="dxa" w:w="1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CARRERA</w:t>
            </w:r>
          </w:p>
        </w:tc>
        <w:tc>
          <w:tcPr>
            <w:tcW w:type="dxa" w:w="4820"/>
            <w:gridSpan w:val="2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Dise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 xml:space="preserve">o </w:t>
            </w:r>
          </w:p>
        </w:tc>
        <w:tc>
          <w:tcPr>
            <w:tcW w:type="dxa" w:w="11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CODIGO</w:t>
            </w:r>
          </w:p>
        </w:tc>
        <w:tc>
          <w:tcPr>
            <w:tcW w:type="dxa" w:w="1858"/>
            <w:tcBorders>
              <w:top w:val="single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redeterminado"/>
              <w:bidi w:val="0"/>
              <w:spacing w:after="180" w:line="3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outline w:val="0"/>
                <w:color w:val="333333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  <w:t xml:space="preserve">                             </w:t>
            </w:r>
            <w:r>
              <w:rPr>
                <w:rFonts w:ascii="Calibri" w:cs="Calibri" w:hAnsi="Calibri" w:eastAsia="Calibri"/>
                <w:outline w:val="0"/>
                <w:color w:val="333333"/>
                <w:sz w:val="24"/>
                <w:szCs w:val="24"/>
                <w:shd w:val="clear" w:color="auto" w:fill="ffffff"/>
                <w:rtl w:val="0"/>
                <w14:textFill>
                  <w14:solidFill>
                    <w14:srgbClr w14:val="333333"/>
                  </w14:solidFill>
                </w14:textFill>
              </w:rPr>
              <w:t>AUD7V007</w:t>
            </w:r>
          </w:p>
          <w:p>
            <w:pPr>
              <w:pStyle w:val="Predeterminado"/>
              <w:bidi w:val="0"/>
              <w:spacing w:after="180" w:line="380" w:lineRule="atLeast"/>
              <w:ind w:left="0" w:right="0" w:firstLine="0"/>
              <w:jc w:val="left"/>
              <w:rPr>
                <w:rtl w:val="0"/>
              </w:rPr>
            </w:pP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Nombre de la actividad curricular</w:t>
            </w:r>
          </w:p>
          <w:p>
            <w:pPr>
              <w:pStyle w:val="Cuerpo"/>
              <w:bidi w:val="0"/>
              <w:ind w:left="709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ELECTIVOS: 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Tipograf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a: forma y funci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9053"/>
            <w:gridSpan w:val="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 w:after="120"/>
              <w:ind w:left="720" w:firstLine="0"/>
              <w:rPr>
                <w:rStyle w:val="Ninguno"/>
                <w:sz w:val="24"/>
                <w:szCs w:val="24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Nombre de la actividad curricular en ingl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s</w:t>
            </w:r>
          </w:p>
          <w:p>
            <w:pPr>
              <w:pStyle w:val="Cuerpo"/>
              <w:widowControl w:val="0"/>
              <w:bidi w:val="0"/>
              <w:ind w:left="709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ELECTIVE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: 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Typography: form and function</w:t>
            </w:r>
          </w:p>
        </w:tc>
      </w:tr>
      <w:tr>
        <w:tblPrEx>
          <w:shd w:val="clear" w:color="auto" w:fill="ced7e7"/>
        </w:tblPrEx>
        <w:trPr>
          <w:trHeight w:val="732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Palabras Clave</w:t>
            </w:r>
          </w:p>
          <w:p>
            <w:pPr>
              <w:pStyle w:val="Cuerpo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Tipograf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,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Caligraf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a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,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 Lenguaje, Dise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o, Composici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n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shd w:val="clear" w:color="auto" w:fill="ffff00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 .</w:t>
            </w:r>
          </w:p>
        </w:tc>
      </w:tr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Unidad Acad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mica </w:t>
            </w:r>
          </w:p>
          <w:p>
            <w:pPr>
              <w:pStyle w:val="Cuerpo"/>
              <w:bidi w:val="0"/>
              <w:ind w:left="709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Escuela de Pregrado /Departamento de Dise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 xml:space="preserve">o </w:t>
            </w:r>
          </w:p>
        </w:tc>
      </w:tr>
      <w:tr>
        <w:tblPrEx>
          <w:shd w:val="clear" w:color="auto" w:fill="ced7e7"/>
        </w:tblPrEx>
        <w:trPr>
          <w:trHeight w:val="2172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mbito </w:t>
            </w:r>
          </w:p>
          <w:p>
            <w:pPr>
              <w:pStyle w:val="Cuerpo"/>
              <w:bidi w:val="0"/>
              <w:spacing w:line="240" w:lineRule="auto"/>
              <w:ind w:left="720" w:right="0" w:firstLine="0"/>
              <w:jc w:val="left"/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I. EVALUAR</w:t>
            </w:r>
          </w:p>
          <w:p>
            <w:pPr>
              <w:pStyle w:val="Cuerpo"/>
              <w:bidi w:val="0"/>
              <w:spacing w:line="240" w:lineRule="auto"/>
              <w:ind w:left="720" w:right="0" w:firstLine="0"/>
              <w:jc w:val="left"/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II. CREAR</w:t>
            </w:r>
          </w:p>
          <w:p>
            <w:pPr>
              <w:pStyle w:val="Cuerpo"/>
              <w:bidi w:val="0"/>
              <w:spacing w:line="240" w:lineRule="auto"/>
              <w:ind w:left="720" w:right="0" w:firstLine="0"/>
              <w:jc w:val="left"/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III. GESTIONAR</w:t>
            </w:r>
          </w:p>
          <w:p>
            <w:pPr>
              <w:pStyle w:val="Cuerpo"/>
              <w:bidi w:val="0"/>
              <w:spacing w:line="240" w:lineRule="auto"/>
              <w:ind w:left="720" w:right="0" w:firstLine="0"/>
              <w:jc w:val="left"/>
              <w:rPr>
                <w:rtl w:val="0"/>
              </w:rPr>
            </w:pPr>
            <w:r>
              <w:rPr>
                <w:rStyle w:val="Ninguno"/>
                <w:i w:val="1"/>
                <w:iCs w:val="1"/>
                <w:outline w:val="0"/>
                <w:color w:val="535353"/>
                <w:sz w:val="24"/>
                <w:szCs w:val="24"/>
                <w:u w:color="535353"/>
                <w:rtl w:val="0"/>
                <w:lang w:val="es-ES_tradnl"/>
                <w14:textFill>
                  <w14:solidFill>
                    <w14:srgbClr w14:val="535353"/>
                  </w14:solidFill>
                </w14:textFill>
              </w:rPr>
              <w:t>IV. SISTEMATIZAR</w:t>
            </w:r>
          </w:p>
        </w:tc>
      </w:tr>
      <w:tr>
        <w:tblPrEx>
          <w:shd w:val="clear" w:color="auto" w:fill="ced7e7"/>
        </w:tblPrEx>
        <w:trPr>
          <w:trHeight w:val="612" w:hRule="atLeast"/>
        </w:trPr>
        <w:tc>
          <w:tcPr>
            <w:tcW w:type="dxa" w:w="3935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9"/>
              </w:numPr>
              <w:spacing w:before="120" w:after="12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ú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mero de Cr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ditos SCT - Chile</w:t>
            </w:r>
          </w:p>
          <w:p>
            <w:pPr>
              <w:pStyle w:val="Cuerpo"/>
              <w:bidi w:val="0"/>
              <w:ind w:left="72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3</w:t>
            </w:r>
          </w:p>
        </w:tc>
        <w:tc>
          <w:tcPr>
            <w:tcW w:type="dxa" w:w="255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Horas directas (presencial)</w:t>
            </w:r>
          </w:p>
        </w:tc>
        <w:tc>
          <w:tcPr>
            <w:tcW w:type="dxa" w:w="256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/>
              <w:rPr>
                <w:rStyle w:val="Ninguno"/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Horas indirectas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24"/>
                <w:szCs w:val="24"/>
                <w:rtl w:val="0"/>
                <w:lang w:val="es-ES_tradnl"/>
              </w:rPr>
              <w:t>(no presencial)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3935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51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3</w:t>
            </w:r>
          </w:p>
        </w:tc>
        <w:tc>
          <w:tcPr>
            <w:tcW w:type="dxa" w:w="2567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1,5</w:t>
            </w:r>
          </w:p>
        </w:tc>
      </w:tr>
      <w:tr>
        <w:tblPrEx>
          <w:shd w:val="clear" w:color="auto" w:fill="ced7e7"/>
        </w:tblPrEx>
        <w:trPr>
          <w:trHeight w:val="1578" w:hRule="atLeast"/>
        </w:trPr>
        <w:tc>
          <w:tcPr>
            <w:tcW w:type="dxa" w:w="3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Requisitos</w:t>
            </w:r>
          </w:p>
        </w:tc>
        <w:tc>
          <w:tcPr>
            <w:tcW w:type="dxa" w:w="51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 w:after="120"/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AUD20001 Proyecto II , AUD20002 Teor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a y Cr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tica del Dise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o , AUD20003 Representaci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 Conceptual , AUD20004 F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sica aplicada al Dise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ñ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o , AUD20005 Composici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>n Visual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outline w:val="0"/>
                <w:color w:val="808080"/>
                <w:sz w:val="24"/>
                <w:szCs w:val="24"/>
                <w:u w:color="808080"/>
                <w:rtl w:val="0"/>
                <w:lang w:val="es-ES_tradnl"/>
                <w14:textFill>
                  <w14:solidFill>
                    <w14:srgbClr w14:val="808080"/>
                  </w14:solidFill>
                </w14:textFill>
              </w:rPr>
              <w:t xml:space="preserve"> II</w:t>
            </w:r>
          </w:p>
        </w:tc>
      </w:tr>
      <w:tr>
        <w:tblPrEx>
          <w:shd w:val="clear" w:color="auto" w:fill="ced7e7"/>
        </w:tblPrEx>
        <w:trPr>
          <w:trHeight w:val="670" w:hRule="atLeast"/>
        </w:trPr>
        <w:tc>
          <w:tcPr>
            <w:tcW w:type="dxa" w:w="3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Prop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sito formativo</w:t>
            </w:r>
          </w:p>
        </w:tc>
        <w:tc>
          <w:tcPr>
            <w:tcW w:type="dxa" w:w="51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before="120" w:after="120" w:line="240" w:lineRule="auto"/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Desarrollar destrezas, conocimientos y habilidades que permiten la especializaci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en las diferentes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reas que aborda la disciplina del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o.</w:t>
            </w:r>
          </w:p>
        </w:tc>
      </w:tr>
      <w:tr>
        <w:tblPrEx>
          <w:shd w:val="clear" w:color="auto" w:fill="ced7e7"/>
        </w:tblPrEx>
        <w:trPr>
          <w:trHeight w:val="12037" w:hRule="atLeast"/>
        </w:trPr>
        <w:tc>
          <w:tcPr>
            <w:tcW w:type="dxa" w:w="393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5"/>
              </w:numPr>
              <w:spacing w:before="120" w:after="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Competencias y subcompetencias a las que contribuye el curso </w:t>
            </w:r>
          </w:p>
        </w:tc>
        <w:tc>
          <w:tcPr>
            <w:tcW w:type="dxa" w:w="511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 w:line="240" w:lineRule="auto"/>
              <w:rPr>
                <w:rStyle w:val="Ninguno"/>
                <w:b w:val="1"/>
                <w:bCs w:val="1"/>
                <w:sz w:val="20"/>
                <w:szCs w:val="2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Competencias: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I.3 Emite juicios cr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ticos sobre instancias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entre las ciudadan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 y sus contextos.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II.3 Produce objetos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que impacten social, econ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mica y culturalmente en las ciudadan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 y el entorno.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III.2 Lidera y gestiona talentos y equipos multidisciplinarios.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III.3 Concibe y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 estrategias de intervenci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acuerdo al contexto para la formulaci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e implementaci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proyectos e iniciativas de emprendimiento.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IV.2 Analiza actores, situaciones y contextos para identificar oportunidades de intervenci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IV.3 Documenta y comunica la pr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ctica profesional o disciplinar para proponer nuevas formas de intervenci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n.II.3 Produce objetos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que impacten social, econ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mica y culturalmente en las ciudadan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 y el entorno.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rtl w:val="0"/>
                <w:lang w:val="es-ES_tradnl"/>
              </w:rPr>
              <w:t>Subcompetencias: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I.3.a Reflexiona sobre fen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menos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entre las ciudadan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as, las comunidades, las personas y sus contextos.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I.3.b Eval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ú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 pre factibilidad 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cnica y econ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mica de las propuestas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mediante el conocimiento y/o aplicaci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normativas y est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ndares asociados.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I.3.c Valida proyectos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mediante testeos de procesos productivos sustentables, productos, servicios o experiencias.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II.3.a Incorpora distintos oficios en su dimensi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proyectual, 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cnica y productiva.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II.3.b Integra distintas tecnolog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 en el marco productivo, de la transferencia de informaci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de las interfaces.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III.2.a Asesora a personas u organizaciones para la implementaci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n de proyectos atingentes al/en el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mbito del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III.3.b Selecciona medios y procedimientos disciplinares para distintos entornos y escalas.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III.3.c Organiza creativamente el desarrollo de proyectos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n en el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mbito de la academia y las industrias.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III.3.d Implementa procesos b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sicos de control acorde a los recursos que el proyecto requiera.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IV.2.c Formula argumentos y sustenta discursos en torno a fen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menos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problemas de investigaci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IV.3.a Respalda el desarrollo de proyectos con conocimientos, enfoques, estrategias y metodolog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 pertinentes.</w:t>
            </w:r>
          </w:p>
          <w:p>
            <w:pPr>
              <w:pStyle w:val="Cuerpo"/>
              <w:bidi w:val="0"/>
              <w:spacing w:before="12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IV.3.b Registra sistem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ticamente procesos de mediaci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e investigaci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mediante la comunicaci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oral, escrita y visual apropiada.</w:t>
            </w:r>
          </w:p>
        </w:tc>
      </w:tr>
      <w:tr>
        <w:tblPrEx>
          <w:shd w:val="clear" w:color="auto" w:fill="ced7e7"/>
        </w:tblPrEx>
        <w:trPr>
          <w:trHeight w:val="2449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17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Resultados de Aprendizaje</w:t>
            </w:r>
          </w:p>
          <w:p>
            <w:pPr>
              <w:pStyle w:val="Cuerpo"/>
              <w:bidi w:val="0"/>
              <w:spacing w:after="108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1.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Explorar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e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l lenguaje caligr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 a trav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s de la ejecuci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de diferentes estilos, empleando distintas herramientas.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21" w:line="240" w:lineRule="auto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2.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Desarrollar propuestas de construcci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formal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,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empleando la 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 como elemento central en el desarrollo del proyecto.</w:t>
            </w:r>
          </w:p>
          <w:p>
            <w:pPr>
              <w:pStyle w:val="Cuerpo"/>
              <w:spacing w:after="21" w:line="240" w:lineRule="auto"/>
              <w:rPr>
                <w:rStyle w:val="Ninguno"/>
                <w:sz w:val="20"/>
                <w:szCs w:val="20"/>
                <w:shd w:val="clear" w:color="auto" w:fill="ffff00"/>
                <w:lang w:val="es-ES_tradnl"/>
              </w:rPr>
            </w:pPr>
          </w:p>
          <w:p>
            <w:pPr>
              <w:pStyle w:val="Cuerpo"/>
              <w:bidi w:val="0"/>
              <w:spacing w:after="21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sz w:val="17"/>
                <w:szCs w:val="17"/>
                <w:shd w:val="clear" w:color="auto" w:fill="ffff00"/>
                <w:rtl w:val="0"/>
                <w:lang w:val="es-ES_tradnl"/>
              </w:rPr>
              <w:t>3.</w:t>
            </w:r>
            <w:r>
              <w:rPr>
                <w:rStyle w:val="Ninguno"/>
                <w:rFonts w:ascii="Arial" w:hAnsi="Arial"/>
                <w:sz w:val="17"/>
                <w:szCs w:val="17"/>
                <w:shd w:val="clear" w:color="auto" w:fill="ffff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Evaluar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y seleccionar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aplicaciones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ficas en sus diversas expresiones, seg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ú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diferentes contextos de aplicaci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n.</w:t>
            </w:r>
            <w:r>
              <w:rPr>
                <w:rStyle w:val="Ninguno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10287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19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Saberes fundamentales / Contenidos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Herramienta y lenguaje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:</w:t>
            </w:r>
          </w:p>
          <w:p>
            <w:pPr>
              <w:pStyle w:val="Cuerpo"/>
              <w:bidi w:val="0"/>
              <w:spacing w:after="0"/>
              <w:ind w:left="567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I.1 Principios de la caligraf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Mapa hist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rico de la caligraf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 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evisi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de antecedentes claves, terminolog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Principales referentes.</w:t>
            </w:r>
          </w:p>
          <w:p>
            <w:pPr>
              <w:pStyle w:val="Cuerpo"/>
              <w:bidi w:val="0"/>
              <w:spacing w:after="0"/>
              <w:ind w:left="567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I.2.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Herramientas y estilos. Modelos presi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n- expansi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n, angulaci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n-traslaci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n.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Proporciones. Modulaci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567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I.3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Textura. Espaciado. Ritmo.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567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I.4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Caligraf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 y composici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</w:p>
          <w:p>
            <w:pPr>
              <w:pStyle w:val="Cuerpo"/>
              <w:spacing w:after="0"/>
              <w:ind w:left="567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 y forma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0" w:right="0" w:firstLine="567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II.1.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Anatom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Vocabulario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fico.T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cnicas de dibujo manual de caracteres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ficos.</w:t>
            </w:r>
          </w:p>
          <w:p>
            <w:pPr>
              <w:pStyle w:val="Cuerpo"/>
              <w:bidi w:val="0"/>
              <w:spacing w:after="0"/>
              <w:ind w:left="0" w:right="0" w:firstLine="567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II.2 C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lasificaci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Grades cl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sicos de la 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a. Re-versiones. panorama contempor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neo de la 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a.</w:t>
            </w:r>
          </w:p>
          <w:p>
            <w:pPr>
              <w:pStyle w:val="Cuerpo"/>
              <w:bidi w:val="0"/>
              <w:spacing w:after="0"/>
              <w:ind w:left="0" w:right="0" w:firstLine="567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II.3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Sensibilizaci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respecto de la forma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ctivaci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de motricidad fina, oficio, dibujo y observaci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anal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tica de aspectos clave que definen el ADN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fico.</w:t>
            </w:r>
          </w:p>
          <w:p>
            <w:pPr>
              <w:pStyle w:val="Cuerpo"/>
              <w:bidi w:val="0"/>
              <w:spacing w:after="0"/>
              <w:ind w:left="0" w:right="0" w:firstLine="567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</w:p>
          <w:p>
            <w:pPr>
              <w:pStyle w:val="Cuerpo"/>
              <w:spacing w:after="0"/>
              <w:ind w:firstLine="567"/>
              <w:jc w:val="both"/>
              <w:rPr>
                <w:rStyle w:val="Ninguno"/>
                <w:sz w:val="20"/>
                <w:szCs w:val="20"/>
                <w:shd w:val="clear" w:color="auto" w:fill="ffff00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III.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Funci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y expresi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de la 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         III.1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La tipograf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 como imagen. Logotipo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fico. Lettering. El legado de Herb Lubalin. Referentes contempor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neos.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         III.2 Preparaci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de un original manual para posterior digitalizaci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n. T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cnica de dibujo manual por capas y superposici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n. Entintado.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III.3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Aspectos esenciales en la construcci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digital a partir de una base de trabajo manual (caligr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 o de dibujo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fico)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III.4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La tipograf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 como texto. Textos de mediana inmersi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 de informaci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 Textos de inmersi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n.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 editorial. Selecci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fica y usos. An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lisis de diferentes proyectos y usos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ficos. Selecci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recomendaci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fica. Gesti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de recursos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ficos en un proyecto de 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o. Fundiciones digitales y presupuesto.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Dise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o de fuentes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.1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ADN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fico. Primeros grupos de caracteres.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.2 Sistema y m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dulos de construcci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n. Min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ú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sculas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.3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Espaciado b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sico. Puntuaci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y otros signos.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        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V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.4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alfabeto tipogr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fico digital</w:t>
            </w:r>
          </w:p>
          <w:p>
            <w:pPr>
              <w:pStyle w:val="Estilo de tabla 2"/>
            </w:pPr>
            <w:r>
              <w:rPr>
                <w:rStyle w:val="Ninguno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4049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21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Metodolog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a</w:t>
            </w:r>
          </w:p>
          <w:p>
            <w:pPr>
              <w:pStyle w:val="Cuerpo"/>
              <w:bidi w:val="0"/>
              <w:spacing w:after="396" w:line="246" w:lineRule="auto"/>
              <w:ind w:left="0" w:right="0" w:firstLine="0"/>
              <w:jc w:val="left"/>
              <w:rPr>
                <w:rStyle w:val="Ninguno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1.Clases  expositivas  te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rico - pr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cticas   incentivando  la   participaci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  e interacci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profesor - alumno, despertando en el estudiante su esp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ritu de an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lisis y de cr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tica, fomentando el trabajo colaborativo. </w:t>
            </w:r>
          </w:p>
          <w:p>
            <w:pPr>
              <w:pStyle w:val="Cuerpo"/>
              <w:bidi w:val="0"/>
              <w:spacing w:after="277" w:line="240" w:lineRule="auto"/>
              <w:ind w:left="0" w:right="0" w:firstLine="0"/>
              <w:jc w:val="left"/>
              <w:rPr>
                <w:rStyle w:val="Ninguno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2.Gu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as de ejercicios y material de apoyo a la docencia.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Demostraci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en vivo (ejecuci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caligr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fica)</w:t>
            </w:r>
          </w:p>
          <w:p>
            <w:pPr>
              <w:pStyle w:val="Cuerpo"/>
              <w:bidi w:val="0"/>
              <w:spacing w:after="400" w:line="240" w:lineRule="auto"/>
              <w:ind w:left="0" w:right="0" w:firstLine="0"/>
              <w:jc w:val="left"/>
              <w:rPr>
                <w:rStyle w:val="Ninguno"/>
                <w:shd w:val="clear" w:color="auto" w:fill="ffff00"/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3.Ejercicios pr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cticos de apoyo a la docencia.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Desarrollo de trabajo manual con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nfasis en el oficio y el hacer.</w:t>
            </w:r>
          </w:p>
          <w:p>
            <w:pPr>
              <w:pStyle w:val="Cuerpo"/>
              <w:bidi w:val="0"/>
              <w:spacing w:after="37" w:line="245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4.Utilizaci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 de la  plataforma U-cursos para la administraci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 del curso y  comunicaci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shd w:val="clear" w:color="auto" w:fill="ffff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n con los alumnos.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  <w:p>
            <w:pPr>
              <w:pStyle w:val="Cuerpo"/>
              <w:bidi w:val="0"/>
              <w:spacing w:after="37" w:line="245" w:lineRule="auto"/>
              <w:ind w:left="0" w:right="0" w:firstLine="0"/>
              <w:jc w:val="left"/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</w:pPr>
          </w:p>
          <w:p>
            <w:pPr>
              <w:pStyle w:val="Cuerpo"/>
              <w:bidi w:val="0"/>
              <w:spacing w:after="37" w:line="245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5. Ejercicios de dibujo y construcci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n en el 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Style w:val="Ninguno"/>
                <w:rFonts w:ascii="Calibri" w:cs="Calibri" w:hAnsi="Calibri" w:eastAsia="Calibri"/>
                <w:i w:val="0"/>
                <w:iCs w:val="0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mbito digital (vectores)</w:t>
            </w:r>
          </w:p>
        </w:tc>
      </w:tr>
      <w:tr>
        <w:tblPrEx>
          <w:shd w:val="clear" w:color="auto" w:fill="ced7e7"/>
        </w:tblPrEx>
        <w:trPr>
          <w:trHeight w:val="1451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23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Evaluaci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spacing w:after="34" w:line="246" w:lineRule="auto"/>
              <w:ind w:left="0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La asignatura ser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evaluada por medio de 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3 entregas y examen final:</w:t>
            </w:r>
          </w:p>
          <w:p>
            <w:pPr>
              <w:pStyle w:val="Cuerpo"/>
              <w:bidi w:val="0"/>
              <w:spacing w:after="34" w:line="246" w:lineRule="auto"/>
              <w:ind w:left="0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1- Caligraf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a y composici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spacing w:after="34" w:line="246" w:lineRule="auto"/>
              <w:ind w:left="0" w:right="0" w:firstLine="0"/>
              <w:jc w:val="both"/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2- Dibujo manual de caracteres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ficos</w:t>
            </w:r>
          </w:p>
          <w:p>
            <w:pPr>
              <w:pStyle w:val="Cuerpo"/>
              <w:bidi w:val="0"/>
              <w:spacing w:after="34" w:line="24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3- Dibujo digital de una composici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n tipogr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clear" w:color="auto" w:fill="ffff00"/>
                <w:rtl w:val="0"/>
                <w:lang w:val="es-ES_tradnl"/>
              </w:rPr>
              <w:t xml:space="preserve">fica </w:t>
            </w:r>
          </w:p>
        </w:tc>
      </w:tr>
      <w:tr>
        <w:tblPrEx>
          <w:shd w:val="clear" w:color="auto" w:fill="ced7e7"/>
        </w:tblPrEx>
        <w:trPr>
          <w:trHeight w:val="2264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Requisitos de aprobaci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spacing w:before="120" w:after="12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Obtener una Nota Final (NF) mayor o igual a 4.0 al finalizar el curso. Donde NF se calcula de la siguiente manera: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3 entregas durante el semestre 60%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Ex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b w:val="1"/>
                <w:bCs w:val="1"/>
                <w:sz w:val="20"/>
                <w:szCs w:val="20"/>
                <w:rtl w:val="0"/>
                <w:lang w:val="es-ES_tradnl"/>
              </w:rPr>
              <w:t>men final 40%</w:t>
            </w:r>
            <w:r>
              <w:rPr>
                <w:rStyle w:val="Ninguno"/>
                <w:b w:val="1"/>
                <w:bCs w:val="1"/>
                <w:sz w:val="20"/>
                <w:szCs w:val="20"/>
                <w:lang w:val="es-ES_tradnl"/>
              </w:rPr>
            </w:r>
          </w:p>
        </w:tc>
      </w:tr>
      <w:tr>
        <w:tblPrEx>
          <w:shd w:val="clear" w:color="auto" w:fill="ced7e7"/>
        </w:tblPrEx>
        <w:trPr>
          <w:trHeight w:val="2903" w:hRule="atLeast"/>
        </w:trPr>
        <w:tc>
          <w:tcPr>
            <w:tcW w:type="dxa" w:w="905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numPr>
                <w:ilvl w:val="0"/>
                <w:numId w:val="27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Bibliograf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a obligatoria </w:t>
            </w:r>
          </w:p>
          <w:p>
            <w:pPr>
              <w:pStyle w:val="Cuerpo"/>
              <w:shd w:val="clear" w:color="auto" w:fill="ffffff"/>
              <w:bidi w:val="0"/>
              <w:spacing w:after="0"/>
              <w:ind w:left="0" w:right="0" w:firstLine="0"/>
              <w:jc w:val="left"/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Sheila Waters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 (20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14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). 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>Foundations of calligraphy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s-ES_tradnl"/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Style w:val="Ninguno"/>
                <w:outline w:val="0"/>
                <w:color w:val="000000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John Neal Bookseller. 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ISBN-10: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9584101625</w:t>
            </w:r>
          </w:p>
          <w:p>
            <w:pPr>
              <w:pStyle w:val="Cuerpo"/>
              <w:bidi w:val="0"/>
              <w:ind w:left="709" w:right="0" w:firstLine="0"/>
              <w:jc w:val="left"/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ISBN-13: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978-0966530513.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Francisco Galvez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(20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18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). Hacer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y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Componer. Una Introducci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 A La Tipografia. Ediciones UC. ISBN: 978-956-14-2245-2.</w:t>
            </w:r>
          </w:p>
          <w:p>
            <w:pPr>
              <w:pStyle w:val="Cuerpo"/>
              <w:spacing w:after="0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Karen Cheng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(2014).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Dise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ar tipograf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. Editorial Gustavo Gili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  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ISBN-10: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8425220726</w:t>
            </w:r>
          </w:p>
          <w:p>
            <w:pPr>
              <w:pStyle w:val="Cuerpo"/>
              <w:bidi w:val="0"/>
              <w:ind w:left="709" w:right="0" w:firstLine="0"/>
              <w:jc w:val="left"/>
              <w:rPr>
                <w:rtl w:val="0"/>
              </w:rPr>
            </w:pP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ISBN-13: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Style w:val="Ninguno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978-8425220722.</w:t>
            </w:r>
            <w:r>
              <w:rPr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365" w:hRule="atLeast"/>
        </w:trPr>
        <w:tc>
          <w:tcPr>
            <w:tcW w:type="dxa" w:w="9053"/>
            <w:gridSpan w:val="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  <w:ind w:left="709" w:firstLine="0"/>
              <w:rPr>
                <w:rStyle w:val="Ninguno"/>
                <w:b w:val="1"/>
                <w:bCs w:val="1"/>
                <w:sz w:val="24"/>
                <w:szCs w:val="24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Bibliograf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rtl w:val="0"/>
                <w:lang w:val="es-ES_tradnl"/>
              </w:rPr>
              <w:t>a complementaria</w:t>
            </w:r>
          </w:p>
          <w:p>
            <w:pPr>
              <w:pStyle w:val="Cuerpo"/>
              <w:bidi w:val="0"/>
              <w:spacing w:before="120" w:after="12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 xml:space="preserve">Gerrit Noordzij 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(20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09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).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El trazo. Teor</w:t>
            </w:r>
            <w:r>
              <w:rPr>
                <w:rStyle w:val="Ninguno"/>
                <w:rFonts w:ascii="Calibri" w:cs="Calibri" w:hAnsi="Calibri" w:eastAsia="Calibri" w:hint="default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a de la escritura</w:t>
            </w:r>
            <w:r>
              <w:rPr>
                <w:rStyle w:val="Ninguno"/>
                <w:rFonts w:ascii="Calibri" w:cs="Calibri" w:hAnsi="Calibri" w:eastAsia="Calibri"/>
                <w:sz w:val="20"/>
                <w:szCs w:val="20"/>
                <w:rtl w:val="0"/>
                <w:lang w:val="es-ES_tradnl"/>
              </w:rPr>
              <w:t>.</w:t>
            </w:r>
            <w:r>
              <w:rPr>
                <w:rStyle w:val="Ninguno"/>
                <w:rFonts w:ascii="Arial" w:hAnsi="Arial"/>
                <w:sz w:val="20"/>
                <w:szCs w:val="20"/>
                <w:rtl w:val="0"/>
                <w:lang w:val="es-ES_tradnl"/>
              </w:rPr>
              <w:t>Editorial Campgrafic</w:t>
            </w:r>
          </w:p>
          <w:p>
            <w:pPr>
              <w:pStyle w:val="Cuerpo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ISBN-10: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8496657108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ISBN-13: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Style w:val="Ninguno"/>
                <w:sz w:val="20"/>
                <w:szCs w:val="20"/>
                <w:rtl w:val="0"/>
                <w:lang w:val="en-US"/>
              </w:rPr>
              <w:t>978-8496657106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.</w:t>
            </w:r>
            <w:r>
              <w:rPr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752" w:hRule="atLeast"/>
        </w:trPr>
        <w:tc>
          <w:tcPr>
            <w:tcW w:type="dxa" w:w="9053"/>
            <w:gridSpan w:val="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center"/>
          </w:tcPr>
          <w:p>
            <w:pPr>
              <w:pStyle w:val="Cuerpo"/>
              <w:spacing w:before="120" w:after="120"/>
              <w:ind w:left="709" w:firstLine="0"/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Recursos web </w:t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"https://www.paulshawletterdesign.com/"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https://www.paulshawletterdesign.com/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"https://www.typeroom.eu/"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https://www.typeroom.eu/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"https://www.myfonts.com/"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https://www.myfonts.com/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"https://glyphsapp.com/es"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https://glyphsapp.com/es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"https://www.fontshop.com/"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https://www.fontshop.com/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"https://andwalsh.com/"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https://andwalsh.com/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"https://theletterettes.com/"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https://theletterettes.com/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"https://www.louisefili.com/"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https://www.louisefili.com/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"http://typequality.com/"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http://typequality.com/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"http://www.alphabettes.org/"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es-ES_tradnl"/>
                <w14:textFill>
                  <w14:solidFill>
                    <w14:srgbClr w14:val="0000FF"/>
                  </w14:solidFill>
                </w14:textFill>
              </w:rPr>
              <w:t>http://www.alphabettes.org/</w:t>
            </w: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  <w:fldChar w:fldCharType="end" w:fldLock="0"/>
            </w:r>
          </w:p>
          <w:p>
            <w:pPr>
              <w:pStyle w:val="Predeterminado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" w:cs="Times" w:hAnsi="Times" w:eastAsia="Times"/>
                <w:outline w:val="0"/>
                <w:color w:val="0000ee"/>
                <w:sz w:val="24"/>
                <w:szCs w:val="24"/>
                <w:u w:val="single"/>
                <w:rtl w:val="0"/>
                <w14:textFill>
                  <w14:solidFill>
                    <w14:srgbClr w14:val="0000EE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053"/>
            <w:gridSpan w:val="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89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Cuerpo"/>
        <w:widowControl w:val="0"/>
        <w:spacing w:after="0" w:line="240" w:lineRule="auto"/>
        <w:jc w:val="center"/>
        <w:rPr>
          <w:rStyle w:val="Ning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uerpo"/>
        <w:jc w:val="center"/>
      </w:pPr>
    </w:p>
    <w:tbl>
      <w:tblPr>
        <w:tblW w:w="90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39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IMPORTANTE</w:t>
            </w:r>
          </w:p>
        </w:tc>
      </w:tr>
      <w:tr>
        <w:tblPrEx>
          <w:shd w:val="clear" w:color="auto" w:fill="ced7e7"/>
        </w:tblPrEx>
        <w:trPr>
          <w:trHeight w:val="7703" w:hRule="atLeast"/>
        </w:trPr>
        <w:tc>
          <w:tcPr>
            <w:tcW w:type="dxa" w:w="90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Sobre la asistencia a clases: 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La asistencia m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nima a las actividades curriculares queda definida en el Reglamento General de los Estudios de Pregrado de la Facultad de Arquitectura y Urbanismo (Decreto Exento 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°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004041 del 21 de Enero de 2016), Art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culo 21: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“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Los requisitos de asistencia a las actividades curriculares ser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 establecidos por cada profesor, incluidos en el programa del curso e informados a los estudiantes al inicio de cada curso, pero no podr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ser menor al 75% (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…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) El no cumplimiento de la asistencia m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nima en los t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rminos se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ñ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alados en este art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culo constituir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una causal de reprobaci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n de la asignatura.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Si el estudiante presenta inasistencias reiteradas, deber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justificarlas con el/la Jefe/a de Carrera respectivo, quien decidir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en funci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n de los antecedentes presentados, si corresponde acogerlas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”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. 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Sobre evaluaciones: 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Art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culo 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°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22 del Reglamento General de los Estudios de Pregrado de la Facultad de Arquitectura y Urbanismo (Decreto Exento 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°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004041 del 21 de Enero de 2016), se establece: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“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El rendimiento acad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mico de los estudiantes ser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calificado en la escala de notas 1,0 a 7,0 expresado hasta con un decimal. La nota m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nima de aprobaci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 de cada asignatura o actividad curricular ser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cuatro (4,0)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”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. 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both"/>
              <w:rPr>
                <w:sz w:val="20"/>
                <w:szCs w:val="20"/>
                <w:rtl w:val="0"/>
                <w:lang w:val="es-ES_tradnl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Sobre inasistencia a evaluaciones: </w:t>
            </w:r>
          </w:p>
          <w:p>
            <w:pPr>
              <w:pStyle w:val="Cuerpo"/>
              <w:spacing w:after="0" w:line="240" w:lineRule="auto"/>
              <w:jc w:val="both"/>
              <w:rPr>
                <w:rStyle w:val="Ninguno"/>
                <w:sz w:val="20"/>
                <w:szCs w:val="20"/>
                <w:lang w:val="es-ES_tradnl"/>
              </w:rPr>
            </w:pP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Art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>culo N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° </w:t>
            </w:r>
            <w:r>
              <w:rPr>
                <w:rStyle w:val="Ninguno"/>
                <w:sz w:val="20"/>
                <w:szCs w:val="20"/>
                <w:rtl w:val="0"/>
                <w:lang w:val="es-ES_tradnl"/>
              </w:rPr>
              <w:t xml:space="preserve">23 del Reglamento General de los Estudios de Pregrado de la Facultad de Arquitectura y Urbanismo: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“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El estudiante que falte sin la debida justificaci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n a cualquier actividad evaluada, ser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calificado autom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ticamente con nota 1,0. Si tiene justificaci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n para su inasistencia, deber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i w:val="1"/>
                <w:iCs w:val="1"/>
                <w:sz w:val="20"/>
                <w:szCs w:val="20"/>
                <w:rtl w:val="0"/>
                <w:lang w:val="es-ES_tradnl"/>
              </w:rPr>
              <w:t>presentar los antecedentes ante el/la Jefe/a de Carrera para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ser evaluados. Si resuelve que la justificaci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 es suficiente, el estudiante tendr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derecho a una evaluaci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 recuperativa cuya fecha determinar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el/la Profesor/a. </w:t>
            </w:r>
          </w:p>
          <w:p>
            <w:pPr>
              <w:pStyle w:val="Cuerpo"/>
              <w:bidi w:val="0"/>
              <w:spacing w:after="0" w:line="240" w:lineRule="auto"/>
              <w:ind w:left="0" w:right="0" w:firstLine="0"/>
              <w:jc w:val="both"/>
              <w:rPr>
                <w:rStyle w:val="Ninguno"/>
                <w:sz w:val="20"/>
                <w:szCs w:val="20"/>
                <w:rtl w:val="0"/>
              </w:rPr>
            </w:pP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Existir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un plazo de hasta 3 d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í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as h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á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biles desde la evaluaci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 para presentar su justificaci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n, la que podr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ser presentada por otra persona distinta al estudiante y en su nombre, si es que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é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ste no est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en condiciones de hacerlo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>”</w:t>
            </w:r>
            <w:r>
              <w:rPr>
                <w:rStyle w:val="Ninguno"/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es-ES_tradnl"/>
              </w:rPr>
              <w:t xml:space="preserve">. </w:t>
            </w:r>
          </w:p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Fonts w:ascii="Arial" w:cs="Arial" w:hAnsi="Arial" w:eastAsia="Arial"/>
                <w:sz w:val="20"/>
                <w:szCs w:val="20"/>
                <w:lang w:val="es-ES_tradnl"/>
              </w:rPr>
            </w:r>
          </w:p>
        </w:tc>
      </w:tr>
    </w:tbl>
    <w:p>
      <w:pPr>
        <w:pStyle w:val="Cuerpo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center" w:pos="4419"/>
        <w:tab w:val="right" w:pos="8818"/>
      </w:tabs>
      <w:spacing w:after="0" w:line="240" w:lineRule="auto"/>
    </w:pPr>
    <w:r>
      <w:rPr>
        <w:rStyle w:val="Ninguno"/>
        <w:outline w:val="0"/>
        <w:color w:val="000000"/>
        <w:u w:color="000000"/>
        <w14:textFill>
          <w14:solidFill>
            <w14:srgbClr w14:val="000000"/>
          </w14:solidFill>
        </w14:textFill>
      </w:rPr>
      <w:drawing>
        <wp:inline distT="0" distB="0" distL="0" distR="0">
          <wp:extent cx="1485875" cy="93281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42520" b="0"/>
                  <a:stretch>
                    <a:fillRect/>
                  </a:stretch>
                </pic:blipFill>
                <pic:spPr>
                  <a:xfrm>
                    <a:off x="0" y="0"/>
                    <a:ext cx="1485875" cy="9328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7"/>
    <w:lvlOverride w:ilvl="0">
      <w:startOverride w:val="8"/>
    </w:lvlOverride>
  </w:num>
  <w:num w:numId="16">
    <w:abstractNumId w:val="8"/>
  </w:num>
  <w:num w:numId="17">
    <w:abstractNumId w:val="8"/>
    <w:lvlOverride w:ilvl="0">
      <w:startOverride w:val="9"/>
    </w:lvlOverride>
  </w:num>
  <w:num w:numId="18">
    <w:abstractNumId w:val="9"/>
  </w:num>
  <w:num w:numId="19">
    <w:abstractNumId w:val="9"/>
    <w:lvlOverride w:ilvl="0">
      <w:startOverride w:val="10"/>
    </w:lvlOverride>
  </w:num>
  <w:num w:numId="20">
    <w:abstractNumId w:val="10"/>
  </w:num>
  <w:num w:numId="21">
    <w:abstractNumId w:val="10"/>
    <w:lvlOverride w:ilvl="0">
      <w:startOverride w:val="11"/>
    </w:lvlOverride>
  </w:num>
  <w:num w:numId="22">
    <w:abstractNumId w:val="11"/>
  </w:num>
  <w:num w:numId="23">
    <w:abstractNumId w:val="11"/>
    <w:lvlOverride w:ilvl="0">
      <w:startOverride w:val="12"/>
    </w:lvlOverride>
  </w:num>
  <w:num w:numId="24">
    <w:abstractNumId w:val="12"/>
  </w:num>
  <w:num w:numId="25">
    <w:abstractNumId w:val="12"/>
    <w:lvlOverride w:ilvl="0">
      <w:startOverride w:val="13"/>
    </w:lvlOverride>
  </w:num>
  <w:num w:numId="26">
    <w:abstractNumId w:val="13"/>
  </w:num>
  <w:num w:numId="27">
    <w:abstractNumId w:val="13"/>
    <w:lvlOverride w:ilvl="0">
      <w:startOverride w:val="14"/>
    </w:lvlOverride>
  </w:num>
  <w:num w:numId="28">
    <w:abstractNumId w:val="14"/>
  </w:num>
  <w:num w:numId="29">
    <w:abstractNumId w:val="15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