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2264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  <w:shd w:val="clear" w:color="auto" w:fill="D9D9D9"/>
          </w:tcPr>
          <w:p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PROGRAMA DE ASIGNATURA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</w:tcPr>
          <w:p>
            <w:pPr>
              <w:numPr>
                <w:ilvl w:val="0"/>
                <w:numId w:val="1"/>
              </w:numPr>
              <w:ind w:left="284" w:hanging="284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Nombre de la actividad curricular</w:t>
            </w:r>
          </w:p>
          <w:p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Imaginarios de infancia y adultocentrismo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</w:tcPr>
          <w:p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Nombre de la actividad curricular en inglés</w:t>
            </w:r>
          </w:p>
          <w:p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Childhood’s imaginaries and adultocentrism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</w:tcPr>
          <w:p>
            <w:pPr>
              <w:numPr>
                <w:ilvl w:val="0"/>
                <w:numId w:val="1"/>
              </w:numPr>
              <w:ind w:left="284" w:hanging="284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Nombre completo del docente(s) responsable(s)</w:t>
            </w:r>
          </w:p>
          <w:p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Isolda Milenka Núñez Candia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828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Unidad académica / organismo de la unidad académica que lo desarrolla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 de Filosofía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</w:tcPr>
          <w:p>
            <w:pPr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Semestre/año académico en que se dicta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semestre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Ámbito</w:t>
            </w:r>
          </w:p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Filosofía Política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0" w:type="dxa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>
              <w:rPr>
                <w:rFonts w:cs="Calibri"/>
                <w:b/>
                <w:sz w:val="24"/>
                <w:szCs w:val="24"/>
              </w:rPr>
              <w:t>Horas de trabajo</w:t>
            </w: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Horas semanales de trabajo presencial </w:t>
            </w:r>
          </w:p>
        </w:tc>
        <w:tc>
          <w:tcPr>
            <w:tcW w:w="226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semanales de trabajo no presencial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300" w:type="dxa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>
              <w:rPr>
                <w:rFonts w:cs="Calibri"/>
                <w:b/>
                <w:sz w:val="24"/>
                <w:szCs w:val="24"/>
              </w:rPr>
              <w:t>Tipo de créditos</w:t>
            </w:r>
          </w:p>
          <w:p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SCT</w:t>
            </w:r>
          </w:p>
        </w:tc>
        <w:tc>
          <w:tcPr>
            <w:tcW w:w="226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8" w:type="dxa"/>
            <w:gridSpan w:val="3"/>
          </w:tcPr>
          <w:p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 </w:t>
            </w:r>
            <w:r>
              <w:rPr>
                <w:rFonts w:cs="Calibri"/>
                <w:b/>
                <w:sz w:val="24"/>
                <w:szCs w:val="24"/>
              </w:rPr>
              <w:t>Número de créditos SCT – Chile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300" w:type="dxa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 </w:t>
            </w:r>
            <w:r>
              <w:rPr>
                <w:rFonts w:cs="Calibri"/>
                <w:b/>
                <w:sz w:val="24"/>
                <w:szCs w:val="24"/>
              </w:rPr>
              <w:t>Requisitos</w:t>
            </w:r>
          </w:p>
        </w:tc>
        <w:tc>
          <w:tcPr>
            <w:tcW w:w="4528" w:type="dxa"/>
            <w:gridSpan w:val="2"/>
          </w:tcPr>
          <w:p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No tiene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0" w:type="dxa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</w:t>
            </w:r>
            <w:r>
              <w:rPr>
                <w:rFonts w:cs="Calibri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4528" w:type="dxa"/>
            <w:gridSpan w:val="2"/>
          </w:tcPr>
          <w:p>
            <w:pPr>
              <w:spacing w:after="0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Cs/>
                <w:sz w:val="24"/>
                <w:szCs w:val="24"/>
                <w:lang w:val="es-ES"/>
              </w:rPr>
              <w:t>En el curso se pretende abrir un espacio de reflexión sobre aquello que constituye y caracteriza la construcción cultural del imaginario infantil y sus referentes, a partir de un enfoque crítico de las concepciones de niñez e infancia que la cultura realiza desde el modelo adultocéntrico, específicamente las concepciones de la niñez minorizada, dependiente y en ausencia de un pensamiento o capacidad de ser pensante.</w:t>
            </w:r>
          </w:p>
          <w:p>
            <w:pPr>
              <w:spacing w:after="0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</w:p>
          <w:p>
            <w:pPr>
              <w:spacing w:after="0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Cs/>
                <w:sz w:val="24"/>
                <w:szCs w:val="24"/>
                <w:lang w:val="es-ES"/>
              </w:rPr>
              <w:t xml:space="preserve">Para tales fines se considerará la elaboración que desde la filosofía, la literatura y las ciencias sociales se viene realizando acerca de la infancia y/o la niñez, con la intención de lograr una mirada amplia y múltiple sobre la niñez en distintos espacios: sociales, culturales, familiares, económicos, políticos y educativos. Además, se revisarán las representaciones de la infancia a partir de producciones culturales destinadas a niñas y niños: narrativas infantiles, juegos y juguetes, entre otros. </w:t>
            </w:r>
          </w:p>
          <w:p>
            <w:pPr>
              <w:spacing w:after="0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</w:p>
          <w:p>
            <w:pPr>
              <w:spacing w:after="0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Cs/>
                <w:sz w:val="24"/>
                <w:szCs w:val="24"/>
                <w:lang w:val="es-ES"/>
              </w:rPr>
              <w:t>Finalmente, se indagará en el alcance e impacto de la producción cultural en las formas de representarse de los propios niños/as a sí mismos/as y en las posibilidades de delimitar sus diferencias culturales más propias. Se reflexionará en torno a las construcciones de las subjetividades desde niñas y niños y que les permiten, en definitiva, pensarse a sí mismos/as. Todos estos planteamientos se constituyen en insumos para una comprensión de la niñez en momentos en que su irrupción en el escenario público es un hecho.</w:t>
            </w:r>
          </w:p>
          <w:p>
            <w:pPr>
              <w:spacing w:after="0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0" w:type="dxa"/>
          </w:tcPr>
          <w:p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12. </w:t>
            </w:r>
            <w:r>
              <w:rPr>
                <w:rFonts w:cs="Calibri"/>
                <w:b/>
                <w:sz w:val="24"/>
                <w:szCs w:val="24"/>
              </w:rPr>
              <w:t xml:space="preserve">Competencias 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Comprender y analizar críticamente las corrientes fundamentales y los problemas principales de los saberes sobre infancia. </w:t>
            </w:r>
          </w:p>
          <w:p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Comprender conceptos, analizar, evaluar y construir argumentos, utilizando estrategias discursivas de la disciplina.</w:t>
            </w:r>
          </w:p>
          <w:p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3. Realizar investigaciones en el ámbito de la filosofía y la infancia.</w:t>
            </w:r>
          </w:p>
          <w:p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Comprometerse y comprender críticamente los problemas de la sociedad contemporánea, particularmente acerca del enfoque de derechos.</w:t>
            </w:r>
          </w:p>
          <w:p>
            <w:pPr>
              <w:spacing w:after="0"/>
              <w:rPr>
                <w:sz w:val="24"/>
                <w:szCs w:val="24"/>
              </w:rPr>
            </w:pPr>
          </w:p>
          <w:p>
            <w:pPr>
              <w:spacing w:after="0"/>
              <w:rPr>
                <w:sz w:val="24"/>
                <w:szCs w:val="24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0" w:type="dxa"/>
          </w:tcPr>
          <w:p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13. </w:t>
            </w:r>
            <w:r>
              <w:rPr>
                <w:rFonts w:cs="Calibri"/>
                <w:b/>
                <w:sz w:val="24"/>
                <w:szCs w:val="24"/>
              </w:rPr>
              <w:t>Subcompetencias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spacing w:after="0"/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1.1 </w:t>
            </w:r>
            <w:r>
              <w:t xml:space="preserve">Desarrollar la actitud crítica. </w:t>
            </w:r>
          </w:p>
          <w:p>
            <w:pPr>
              <w:spacing w:after="0"/>
              <w:rPr>
                <w:sz w:val="23"/>
                <w:szCs w:val="23"/>
              </w:rPr>
            </w:pPr>
            <w:r>
              <w:t xml:space="preserve">1.2 </w:t>
            </w:r>
            <w:r>
              <w:rPr>
                <w:sz w:val="23"/>
                <w:szCs w:val="23"/>
              </w:rPr>
              <w:t xml:space="preserve">Reconocer y comprender los aspectos metódicos en las diversas prácticas filosóficas. </w:t>
            </w:r>
          </w:p>
          <w:p>
            <w:pPr>
              <w:spacing w:after="0"/>
              <w:rPr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2.1 </w:t>
            </w:r>
            <w:r>
              <w:rPr>
                <w:sz w:val="23"/>
                <w:szCs w:val="23"/>
              </w:rPr>
              <w:t xml:space="preserve">Analizar argumentos atendiendo a su validez lógica. </w:t>
            </w:r>
          </w:p>
          <w:p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Articulación de preguntas y construcción de problemas filosóficos asociados a la infancia. </w:t>
            </w:r>
          </w:p>
          <w:p>
            <w:pPr>
              <w:spacing w:after="0"/>
              <w:rPr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4.1 </w:t>
            </w:r>
            <w:r>
              <w:rPr>
                <w:sz w:val="23"/>
                <w:szCs w:val="23"/>
              </w:rPr>
              <w:t xml:space="preserve">Examinar desde una perspectiva filosófica los problemas propios del medio cultural y social. </w:t>
            </w:r>
          </w:p>
          <w:p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</w:p>
          <w:p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</w:tcPr>
          <w:p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14. </w:t>
            </w:r>
            <w:r>
              <w:rPr>
                <w:rFonts w:cs="Calibri"/>
                <w:b/>
                <w:sz w:val="24"/>
                <w:szCs w:val="24"/>
              </w:rPr>
              <w:t>Resultados de aprendizaje</w:t>
            </w:r>
          </w:p>
          <w:p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1. Conocer y evaluar los enfoques sociales y culturales que constituyen el paradigma adultocéntrico que recorre la historia del conocimiento filosófico y educacional. </w:t>
            </w:r>
          </w:p>
          <w:p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 Reconocer a niños y niñas como sujetos protagónicos en la construcción de su conocimiento.</w:t>
            </w:r>
          </w:p>
          <w:p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 Construir la propia visión acerca de las características de la educación de niñas y niños y cómo ésta afecta la construcción de sus subjetividades, sus aprendizajes y desarrollo.</w:t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 Adquirir herramientas filosóficas para acceder a la cultura infantil y abrir el diálogo con la infancia.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  <w:vAlign w:val="center"/>
          </w:tcPr>
          <w:p>
            <w:pPr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Saberes / Contenidos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 Imaginarios y representaciones sociales de la niñez.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Tiempo, niñez e infancia.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Dispositivos para la infancia en los espacios públicos y educacionales.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Escolarización e infantilización.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Los y las niñas como Sujetos/as: 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Históricos en espacios privados y públicos.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Pensantes (filosofía e infancia).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 Derechos: ¿Ciudadanía e infancia?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3. Pensando la Niñez y la Infancia: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Niñez y alteridad (la Niñez como ‘lo otro’).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Infancia, interculturalidad y género.</w:t>
            </w:r>
          </w:p>
          <w:p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 nuevo (lo que nace, posibilidades) y la niñez.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828" w:type="dxa"/>
            <w:gridSpan w:val="3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16. </w:t>
            </w:r>
            <w:r>
              <w:rPr>
                <w:rFonts w:cs="Calibri"/>
                <w:b/>
                <w:sz w:val="24"/>
                <w:szCs w:val="24"/>
              </w:rPr>
              <w:t>Metodología</w:t>
            </w:r>
          </w:p>
          <w:p>
            <w:pPr>
              <w:numPr>
                <w:ilvl w:val="0"/>
                <w:numId w:val="2"/>
              </w:numPr>
              <w:spacing w:after="0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Clases expositivas</w:t>
            </w:r>
          </w:p>
          <w:p>
            <w:pPr>
              <w:numPr>
                <w:ilvl w:val="0"/>
                <w:numId w:val="2"/>
              </w:numPr>
              <w:spacing w:after="0"/>
              <w:ind w:left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Lecturas monitoreadas</w:t>
            </w:r>
          </w:p>
          <w:p>
            <w:pPr>
              <w:numPr>
                <w:ilvl w:val="0"/>
                <w:numId w:val="2"/>
              </w:numPr>
              <w:spacing w:after="0"/>
              <w:ind w:left="357"/>
              <w:jc w:val="both"/>
              <w:rPr>
                <w:rFonts w:eastAsia="Batang" w:asciiTheme="minorHAnsi" w:hAnsiTheme="minorHAnsi" w:cstheme="minorHAnsi"/>
                <w:sz w:val="24"/>
                <w:szCs w:val="24"/>
              </w:rPr>
            </w:pPr>
            <w:r>
              <w:rPr>
                <w:rFonts w:eastAsia="Batang" w:asciiTheme="minorHAnsi" w:hAnsiTheme="minorHAnsi" w:cstheme="minorHAnsi"/>
                <w:sz w:val="24"/>
                <w:szCs w:val="24"/>
              </w:rPr>
              <w:t>Sesiones-talleres de “comunidad de indagación”</w:t>
            </w:r>
          </w:p>
          <w:p>
            <w:pPr>
              <w:numPr>
                <w:ilvl w:val="0"/>
                <w:numId w:val="2"/>
              </w:numPr>
              <w:spacing w:after="0"/>
              <w:ind w:left="357"/>
              <w:jc w:val="both"/>
              <w:rPr>
                <w:rFonts w:eastAsia="Batang" w:asciiTheme="minorHAnsi" w:hAnsiTheme="minorHAnsi" w:cstheme="minorHAnsi"/>
                <w:sz w:val="24"/>
                <w:szCs w:val="24"/>
              </w:rPr>
            </w:pPr>
            <w:r>
              <w:rPr>
                <w:rFonts w:eastAsia="Batang" w:asciiTheme="minorHAnsi" w:hAnsiTheme="minorHAnsi" w:cstheme="minorHAnsi"/>
                <w:sz w:val="24"/>
                <w:szCs w:val="24"/>
              </w:rPr>
              <w:t>Investigación grupal y exposición al curso</w:t>
            </w:r>
          </w:p>
          <w:p>
            <w:pPr>
              <w:numPr>
                <w:ilvl w:val="0"/>
                <w:numId w:val="2"/>
              </w:numPr>
              <w:spacing w:after="0"/>
              <w:ind w:left="357"/>
              <w:jc w:val="both"/>
              <w:rPr>
                <w:rFonts w:eastAsia="Batang" w:asciiTheme="minorHAnsi" w:hAnsiTheme="minorHAnsi" w:cstheme="minorHAnsi"/>
                <w:sz w:val="24"/>
                <w:szCs w:val="24"/>
              </w:rPr>
            </w:pPr>
            <w:r>
              <w:rPr>
                <w:rFonts w:eastAsia="Batang" w:asciiTheme="minorHAnsi" w:hAnsiTheme="minorHAnsi" w:cstheme="minorHAnsi"/>
                <w:sz w:val="24"/>
                <w:szCs w:val="24"/>
              </w:rPr>
              <w:t>Presentaciones y desarrollo de proyectos de intervención pedagógica (al estilo de seminario - taller)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17. </w:t>
            </w:r>
            <w:r>
              <w:rPr>
                <w:rFonts w:cs="Calibri"/>
                <w:b/>
                <w:sz w:val="24"/>
                <w:szCs w:val="24"/>
              </w:rPr>
              <w:t>Evaluación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Trabajo de investigación evaluado como proceso y producto final (40%):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Informes de Lecturas (35%)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Exposición en clases (25%)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828" w:type="dxa"/>
            <w:gridSpan w:val="3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18. </w:t>
            </w:r>
            <w:r>
              <w:rPr>
                <w:rFonts w:cs="Calibri"/>
                <w:b/>
                <w:sz w:val="24"/>
                <w:szCs w:val="24"/>
              </w:rPr>
              <w:t>Requisitos de aprobación</w:t>
            </w:r>
          </w:p>
          <w:p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Asistencia: 75% de clases.</w:t>
            </w:r>
          </w:p>
          <w:p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Nota mínima de aprobación: 4.0 (escala 1-7) en promedio entre todas las instancias evaluativas del curso.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  <w:vAlign w:val="center"/>
          </w:tcPr>
          <w:p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19. </w:t>
            </w:r>
            <w:r>
              <w:rPr>
                <w:rFonts w:cs="Calibri"/>
                <w:b/>
                <w:sz w:val="24"/>
                <w:szCs w:val="24"/>
              </w:rPr>
              <w:t>Palabras Clave</w:t>
            </w:r>
          </w:p>
          <w:p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Adultocentrismo, imaginarios, filosofía, infancia.</w:t>
            </w:r>
          </w:p>
          <w:p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  <w:vAlign w:val="center"/>
          </w:tcPr>
          <w:p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20. </w:t>
            </w:r>
            <w:r>
              <w:rPr>
                <w:rFonts w:cs="Calibri"/>
                <w:b/>
                <w:sz w:val="24"/>
                <w:szCs w:val="24"/>
              </w:rPr>
              <w:t>Bibliografía Obligatoria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1. El imaginario infantil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</w:rPr>
            </w:pPr>
            <w:r>
              <w:t>Alzate, M. (2001) “</w:t>
            </w:r>
            <w:r>
              <w:rPr>
                <w:bCs/>
                <w:iCs/>
              </w:rPr>
              <w:t>Concepciones e Imágenes de la Infancia”</w:t>
            </w:r>
            <w:r>
              <w:rPr>
                <w:bCs/>
                <w:i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/>
                <w:iCs/>
                <w:lang w:val="pt-PT"/>
              </w:rPr>
              <w:t xml:space="preserve">Revista de Ciencias Humanas </w:t>
            </w:r>
            <w:r>
              <w:rPr>
                <w:bCs/>
                <w:iCs/>
                <w:lang w:val="pt-PT"/>
              </w:rPr>
              <w:t xml:space="preserve">Nº 28. </w:t>
            </w:r>
            <w:r>
              <w:rPr>
                <w:bCs/>
                <w:iCs/>
              </w:rPr>
              <w:t>Pereira – Colombia.</w:t>
            </w:r>
          </w:p>
          <w:p>
            <w:pPr>
              <w:pStyle w:val="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Duarte, Klaudio; Littin, Catalina. (2002). Niñas, niños y jóvenes: construyendo imágenes en la prensa escrita. Santiago. ACHNU. Ed. Lom.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Feixa, Carles (1996). “Antropología de las edades” En: J. Prat &amp; A. Martínez (eds), </w:t>
            </w:r>
            <w:r>
              <w:rPr>
                <w:bCs/>
                <w:i/>
                <w:iCs/>
              </w:rPr>
              <w:t xml:space="preserve">Ensayos de Antropología Cultural. Homenaje a Claudio Esteva-Fabregat. </w:t>
            </w:r>
            <w:r>
              <w:rPr>
                <w:bCs/>
                <w:iCs/>
              </w:rPr>
              <w:t xml:space="preserve">Editorial Ariel, S.A., Barcelona, 1996. pp. 319-335.  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Foucault, M. (2006) “Los Cuerpos Dóciles”. En:</w:t>
            </w:r>
            <w:r>
              <w:t xml:space="preserve"> </w:t>
            </w:r>
            <w:r>
              <w:rPr>
                <w:i/>
              </w:rPr>
              <w:t>Vigilar y Castigar</w:t>
            </w:r>
            <w:r>
              <w:t>. Buenos Aires: Siglo XXI.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Kohan, W. (2004) </w:t>
            </w:r>
            <w:r>
              <w:rPr>
                <w:i/>
              </w:rPr>
              <w:t>Infancia entre Educación y Filosofía</w:t>
            </w:r>
            <w:r>
              <w:t xml:space="preserve">. Barcelona: Laertes. 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Unidad 2: La niñez como sujeto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Montecino, S. (2007) Madres y huachos. Santiago: Ed. Catalonia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Rancière, J. (2006) “Sobre el Maestro Ignorante”. En Archivos. Revista de Filosofía. UMCE.</w:t>
            </w:r>
          </w:p>
          <w:p>
            <w:pPr>
              <w:numPr>
                <w:ilvl w:val="0"/>
                <w:numId w:val="4"/>
              </w:num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spacing w:after="0" w:line="240" w:lineRule="auto"/>
              <w:jc w:val="both"/>
            </w:pPr>
            <w:r>
              <w:t>Rojas, J. (2001). Los niños y su historia: un acercamiento conceptual y teórico desde la historiografía. En: Pensamientocritico.cl Revista electrónica de Historia Nº1.</w:t>
            </w:r>
          </w:p>
          <w:p>
            <w:pPr>
              <w:pStyle w:val="8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Salazar, G. (2006) Ser niño “huacho” en la historia de Chile. Santiago: Edit. Lom.</w:t>
            </w:r>
          </w:p>
          <w:p>
            <w:p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ind w:left="360"/>
              <w:jc w:val="both"/>
            </w:pPr>
          </w:p>
          <w:p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Unidad 3: Pensando la niñez y la infancia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Arendt, H. (1996) “La Crisis en la Educación” (Cap. V). </w:t>
            </w:r>
            <w:r>
              <w:rPr>
                <w:bCs/>
                <w:i/>
                <w:iCs/>
              </w:rPr>
              <w:t>Entre el Pasado y el Futuro.</w:t>
            </w:r>
            <w:r>
              <w:rPr>
                <w:bCs/>
                <w:iCs/>
              </w:rPr>
              <w:t xml:space="preserve"> Barcelona: Península.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Grau, Olga. (2008) “El pensar imaginativo. </w:t>
            </w:r>
            <w:r>
              <w:t>Generación de experiencias de creatividad reflexiva”, en Olga Grau y Patricia Bonzi (editoras), Grafías filosóficas. Ediciones Cátedra UNESCO de Filosofía-Facultad de Filosofía y Humanidades, Universidad de Chile.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Montes, G. (2001) “Realidad y Fantasía o Cómo se Construye el Corral de la Infancia”. En: </w:t>
            </w:r>
            <w:r>
              <w:rPr>
                <w:i/>
              </w:rPr>
              <w:t>El Corral de la Infancia</w:t>
            </w:r>
            <w:r>
              <w:t>. México: F.C.E.</w:t>
            </w:r>
          </w:p>
          <w:p>
            <w:pPr>
              <w:pStyle w:val="8"/>
              <w:spacing w:after="0"/>
              <w:ind w:left="357"/>
              <w:rPr>
                <w:sz w:val="24"/>
                <w:szCs w:val="24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21. </w:t>
            </w:r>
            <w:r>
              <w:rPr>
                <w:rFonts w:cs="Calibri"/>
                <w:b/>
                <w:sz w:val="24"/>
                <w:szCs w:val="24"/>
              </w:rPr>
              <w:t>Bibliografía Complementaria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Bustelo, Eduardo. (2011).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El recreo de la infancia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. Bs. Aires. Siglo XXI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Delgado, B. (2000).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Historia de la Infancia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. Barcelona: Ariel.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 Mause, Ll. (1982)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Historia de la Infancia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Madrid: Alianza.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Freire, P. (2004)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Pedagogía de la Autonomía. Saberes Necesarios para la Práctica Educativa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México: Siglo XXI.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Lipman, M., Sharp, A. Oscayan, F. (2002)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La Filosofía en el Aula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Madrid: De la Torre.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Montes, G. (1999) “Ilusiones en Conflicto”. En: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La Frontera Indómita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México: F.C.E.</w:t>
            </w:r>
          </w:p>
          <w:p>
            <w:pPr>
              <w:numPr>
                <w:ilvl w:val="0"/>
                <w:numId w:val="4"/>
              </w:numPr>
              <w:tabs>
                <w:tab w:val="left" w:pos="3686"/>
                <w:tab w:val="left" w:pos="5245"/>
                <w:tab w:val="left" w:pos="5954"/>
                <w:tab w:val="left" w:pos="6663"/>
                <w:tab w:val="left" w:pos="7088"/>
                <w:tab w:val="left" w:pos="7513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Rojas, J. (2010).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Historia de la infancia en el Chile Republicano 1810-2010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Santigo. Ed. Ocho libros.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8" w:type="dxa"/>
            <w:gridSpan w:val="3"/>
            <w:vAlign w:val="center"/>
          </w:tcPr>
          <w:p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22. </w:t>
            </w: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>Recursos Web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</w:p>
          <w:p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- Canal PAKA PAKA: www.pakapaka.gob.ar</w:t>
            </w:r>
          </w:p>
          <w:p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- Revista Childhood and philosophy: </w:t>
            </w:r>
          </w:p>
          <w:p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http://www.e-publicacoes.uerj.br/index.php/childhood</w:t>
            </w:r>
          </w:p>
        </w:tc>
      </w:tr>
    </w:tbl>
    <w:p/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Batang">
    <w:altName w:val="Arial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D0C"/>
    <w:multiLevelType w:val="singleLevel"/>
    <w:tmpl w:val="0BE33D0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</w:abstractNum>
  <w:abstractNum w:abstractNumId="1">
    <w:nsid w:val="0E631526"/>
    <w:multiLevelType w:val="multilevel"/>
    <w:tmpl w:val="0E6315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16C6F"/>
    <w:multiLevelType w:val="multilevel"/>
    <w:tmpl w:val="58916C6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75E8"/>
    <w:multiLevelType w:val="multilevel"/>
    <w:tmpl w:val="693575E8"/>
    <w:lvl w:ilvl="0" w:tentative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 w:ascii="Trebuchet MS" w:hAnsi="Trebuchet MS" w:cs="Courier New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89"/>
    <w:rsid w:val="00045325"/>
    <w:rsid w:val="000839ED"/>
    <w:rsid w:val="00091476"/>
    <w:rsid w:val="00285A01"/>
    <w:rsid w:val="002A48E8"/>
    <w:rsid w:val="00335E03"/>
    <w:rsid w:val="00335F1D"/>
    <w:rsid w:val="00340377"/>
    <w:rsid w:val="003414D4"/>
    <w:rsid w:val="00342677"/>
    <w:rsid w:val="00345C66"/>
    <w:rsid w:val="003529E5"/>
    <w:rsid w:val="003A04E4"/>
    <w:rsid w:val="003A5F85"/>
    <w:rsid w:val="003D2559"/>
    <w:rsid w:val="00411861"/>
    <w:rsid w:val="004276EC"/>
    <w:rsid w:val="0044373D"/>
    <w:rsid w:val="00480611"/>
    <w:rsid w:val="004B0F8A"/>
    <w:rsid w:val="004C7415"/>
    <w:rsid w:val="004D20D6"/>
    <w:rsid w:val="004D5A84"/>
    <w:rsid w:val="004F6079"/>
    <w:rsid w:val="004F705D"/>
    <w:rsid w:val="00544684"/>
    <w:rsid w:val="005727E1"/>
    <w:rsid w:val="00583AA1"/>
    <w:rsid w:val="005A059D"/>
    <w:rsid w:val="005C6552"/>
    <w:rsid w:val="005F4F4D"/>
    <w:rsid w:val="00685C0D"/>
    <w:rsid w:val="006A1F5A"/>
    <w:rsid w:val="006F140A"/>
    <w:rsid w:val="006F16A4"/>
    <w:rsid w:val="007212A4"/>
    <w:rsid w:val="00755061"/>
    <w:rsid w:val="00764433"/>
    <w:rsid w:val="007D17BC"/>
    <w:rsid w:val="007F173C"/>
    <w:rsid w:val="00825B62"/>
    <w:rsid w:val="00826249"/>
    <w:rsid w:val="0083379E"/>
    <w:rsid w:val="008455B5"/>
    <w:rsid w:val="00845A3B"/>
    <w:rsid w:val="0085397E"/>
    <w:rsid w:val="00862542"/>
    <w:rsid w:val="008D338E"/>
    <w:rsid w:val="008D7289"/>
    <w:rsid w:val="008F698C"/>
    <w:rsid w:val="00981ED8"/>
    <w:rsid w:val="009F4C6F"/>
    <w:rsid w:val="00A26677"/>
    <w:rsid w:val="00A41979"/>
    <w:rsid w:val="00B62773"/>
    <w:rsid w:val="00B818FA"/>
    <w:rsid w:val="00BB4009"/>
    <w:rsid w:val="00BC38EF"/>
    <w:rsid w:val="00C11CEE"/>
    <w:rsid w:val="00C3008E"/>
    <w:rsid w:val="00C52C74"/>
    <w:rsid w:val="00C72A13"/>
    <w:rsid w:val="00C97671"/>
    <w:rsid w:val="00D069A9"/>
    <w:rsid w:val="00D16E78"/>
    <w:rsid w:val="00D35D28"/>
    <w:rsid w:val="00D51E7C"/>
    <w:rsid w:val="00D74B93"/>
    <w:rsid w:val="00D81596"/>
    <w:rsid w:val="00DA6A08"/>
    <w:rsid w:val="00E8284E"/>
    <w:rsid w:val="00E842F3"/>
    <w:rsid w:val="00EE316F"/>
    <w:rsid w:val="00F111B5"/>
    <w:rsid w:val="03FFE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s-C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</w:pPr>
    <w:rPr>
      <w:lang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Encabezado Car"/>
    <w:link w:val="2"/>
    <w:qFormat/>
    <w:uiPriority w:val="99"/>
    <w:rPr>
      <w:sz w:val="22"/>
      <w:szCs w:val="22"/>
      <w:lang w:eastAsia="en-US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es-CL" w:eastAsia="es-CL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6</Pages>
  <Words>1105</Words>
  <Characters>6080</Characters>
  <Lines>50</Lines>
  <Paragraphs>14</Paragraphs>
  <TotalTime>4</TotalTime>
  <ScaleCrop>false</ScaleCrop>
  <LinksUpToDate>false</LinksUpToDate>
  <CharactersWithSpaces>7171</CharactersWithSpaces>
  <Application>WPS Office_11.1.0.8722_F1E327BC-269C-435d-A152-05C5408002CA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2019-01-14T08:55:00Z</dcterms:created>
  <dc:creator>Ana Moraga</dc:creator>
  <cp:lastModifiedBy>alan</cp:lastModifiedBy>
  <dcterms:modified xsi:type="dcterms:W3CDTF">2019-08-06T09:36:02Z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3082-11.1.0.8722</vt:lpwstr>
  </property>
</Properties>
</file>