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A" w:rsidRPr="002772FA" w:rsidRDefault="006D591D" w:rsidP="002772FA">
      <w:pPr>
        <w:rPr>
          <w:sz w:val="22"/>
          <w:szCs w:val="22"/>
          <w:lang w:val="es-CL"/>
        </w:rPr>
      </w:pPr>
      <w:bookmarkStart w:id="0" w:name="_GoBack"/>
      <w:bookmarkEnd w:id="0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:rsidR="002772FA" w:rsidRDefault="002772FA" w:rsidP="00B80091">
      <w:pPr>
        <w:jc w:val="center"/>
        <w:rPr>
          <w:b/>
          <w:lang w:val="es-CL"/>
        </w:rPr>
      </w:pPr>
    </w:p>
    <w:p w:rsidR="002772FA" w:rsidRDefault="002772FA" w:rsidP="00B80091">
      <w:pPr>
        <w:jc w:val="center"/>
        <w:rPr>
          <w:b/>
          <w:sz w:val="28"/>
          <w:lang w:val="es-CL"/>
        </w:rPr>
      </w:pPr>
      <w:r w:rsidRPr="00601364">
        <w:rPr>
          <w:b/>
          <w:sz w:val="28"/>
          <w:lang w:val="es-CL"/>
        </w:rPr>
        <w:t>Programa</w:t>
      </w:r>
    </w:p>
    <w:p w:rsidR="009662BB" w:rsidRPr="00601364" w:rsidRDefault="009662BB" w:rsidP="00B80091">
      <w:pPr>
        <w:jc w:val="center"/>
        <w:rPr>
          <w:b/>
          <w:sz w:val="28"/>
          <w:lang w:val="es-CL"/>
        </w:rPr>
      </w:pPr>
    </w:p>
    <w:p w:rsidR="0023376E" w:rsidRPr="009662BB" w:rsidRDefault="00601364" w:rsidP="009662BB">
      <w:pPr>
        <w:tabs>
          <w:tab w:val="left" w:pos="5954"/>
        </w:tabs>
        <w:jc w:val="center"/>
        <w:rPr>
          <w:b/>
          <w:lang w:val="es-CL"/>
        </w:rPr>
      </w:pPr>
      <w:r w:rsidRPr="009662BB">
        <w:rPr>
          <w:b/>
          <w:lang w:val="es-CL"/>
        </w:rPr>
        <w:t>Neoliberalismo y Educación</w:t>
      </w:r>
      <w:r w:rsidR="009662BB" w:rsidRPr="009662BB">
        <w:rPr>
          <w:b/>
          <w:lang w:val="es-CL"/>
        </w:rPr>
        <w:t>:</w:t>
      </w:r>
      <w:r w:rsidRPr="009662BB">
        <w:rPr>
          <w:b/>
          <w:lang w:val="es-CL"/>
        </w:rPr>
        <w:t xml:space="preserve"> </w:t>
      </w:r>
      <w:r w:rsidR="009662BB" w:rsidRPr="009662BB">
        <w:rPr>
          <w:b/>
          <w:lang w:val="es-CL"/>
        </w:rPr>
        <w:t>E</w:t>
      </w:r>
      <w:r w:rsidRPr="009662BB">
        <w:rPr>
          <w:b/>
          <w:lang w:val="es-CL"/>
        </w:rPr>
        <w:t xml:space="preserve">l proceso de privatización </w:t>
      </w:r>
      <w:r w:rsidR="009662BB" w:rsidRPr="009662BB">
        <w:rPr>
          <w:b/>
          <w:lang w:val="es-CL"/>
        </w:rPr>
        <w:t xml:space="preserve">educativa </w:t>
      </w:r>
      <w:r w:rsidRPr="009662BB">
        <w:rPr>
          <w:b/>
          <w:lang w:val="es-CL"/>
        </w:rPr>
        <w:t xml:space="preserve">en Chile </w:t>
      </w:r>
    </w:p>
    <w:p w:rsidR="00601364" w:rsidRPr="0023376E" w:rsidRDefault="00601364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231FE9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8A6D6E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66786A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  <w:p w:rsidR="00FE4562" w:rsidRPr="00231FE9" w:rsidRDefault="009B4698" w:rsidP="0066786A">
            <w:pPr>
              <w:rPr>
                <w:lang w:val="es-CL"/>
              </w:rPr>
            </w:pPr>
            <w:r>
              <w:rPr>
                <w:lang w:val="es-CL"/>
              </w:rPr>
              <w:t>Equipo</w:t>
            </w:r>
            <w:r w:rsidR="00FE4562">
              <w:rPr>
                <w:lang w:val="es-C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86A" w:rsidRDefault="008A0417" w:rsidP="0066786A">
            <w:pPr>
              <w:rPr>
                <w:lang w:val="es-CL"/>
              </w:rPr>
            </w:pPr>
            <w:r>
              <w:rPr>
                <w:lang w:val="es-CL"/>
              </w:rPr>
              <w:t xml:space="preserve">Juan González - </w:t>
            </w:r>
            <w:r w:rsidR="008A6D6E">
              <w:rPr>
                <w:lang w:val="es-CL"/>
              </w:rPr>
              <w:t>Rodrigo Sánchez</w:t>
            </w:r>
            <w:r>
              <w:rPr>
                <w:lang w:val="es-CL"/>
              </w:rPr>
              <w:t xml:space="preserve"> </w:t>
            </w:r>
            <w:r w:rsidR="00FE4562">
              <w:rPr>
                <w:lang w:val="es-CL"/>
              </w:rPr>
              <w:t xml:space="preserve">- </w:t>
            </w:r>
          </w:p>
          <w:p w:rsidR="00FE4562" w:rsidRPr="00231FE9" w:rsidRDefault="009B4698" w:rsidP="00FE4562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Diego Parra -</w:t>
            </w:r>
            <w:r w:rsidR="00FE4562">
              <w:rPr>
                <w:lang w:val="es-CL"/>
              </w:rPr>
              <w:t>Alvaro Carreño</w:t>
            </w: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02459F" w:rsidP="00445426">
            <w:pPr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8A0417" w:rsidP="00445426">
            <w:pPr>
              <w:rPr>
                <w:lang w:val="es-CL"/>
              </w:rPr>
            </w:pPr>
            <w:r>
              <w:rPr>
                <w:lang w:val="es-CL"/>
              </w:rPr>
              <w:t>Primero</w:t>
            </w:r>
          </w:p>
        </w:tc>
      </w:tr>
      <w:tr w:rsidR="00B80091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8A0417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8A0417" w:rsidP="00B80091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8A0417" w:rsidP="00445426">
            <w:pPr>
              <w:rPr>
                <w:lang w:val="es-CL"/>
              </w:rPr>
            </w:pPr>
            <w:r>
              <w:rPr>
                <w:lang w:val="es-CL"/>
              </w:rPr>
              <w:t>Ciclo Básico</w:t>
            </w:r>
          </w:p>
        </w:tc>
      </w:tr>
      <w:tr w:rsidR="00B80091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8A6D6E" w:rsidP="00B80091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8A0417">
              <w:rPr>
                <w:lang w:val="es-CL"/>
              </w:rPr>
              <w:t>6</w:t>
            </w:r>
          </w:p>
        </w:tc>
      </w:tr>
      <w:tr w:rsidR="00B80091" w:rsidRPr="00231FE9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66786A" w:rsidRDefault="0066786A" w:rsidP="00684473">
            <w:pPr>
              <w:pStyle w:val="DireccinHTML"/>
            </w:pPr>
          </w:p>
          <w:p w:rsidR="008A0417" w:rsidRDefault="00861AA9" w:rsidP="00A6522F">
            <w:pPr>
              <w:jc w:val="both"/>
              <w:rPr>
                <w:lang w:val="es-CL"/>
              </w:rPr>
            </w:pPr>
            <w:r>
              <w:rPr>
                <w:szCs w:val="20"/>
                <w:lang w:val="es-CL" w:eastAsia="es-ES_tradnl"/>
              </w:rPr>
              <w:t xml:space="preserve">Este curso </w:t>
            </w:r>
            <w:r w:rsidR="008A0417" w:rsidRPr="008A0417">
              <w:rPr>
                <w:szCs w:val="20"/>
                <w:lang w:val="es-CL" w:eastAsia="es-ES_tradnl"/>
              </w:rPr>
              <w:t xml:space="preserve">es una actividad curricular, de carácter de especialización, donde los estudiantes, podrán conocer </w:t>
            </w:r>
            <w:r w:rsidR="00A6522F">
              <w:rPr>
                <w:szCs w:val="20"/>
                <w:lang w:val="es-CL" w:eastAsia="es-ES_tradnl"/>
              </w:rPr>
              <w:t xml:space="preserve">las complejidades de la reforma neoliberal  en educación. Tal reforma  ha tenido un impacto </w:t>
            </w:r>
            <w:r w:rsidR="00AB5917">
              <w:rPr>
                <w:szCs w:val="20"/>
                <w:lang w:val="es-CL" w:eastAsia="es-ES_tradnl"/>
              </w:rPr>
              <w:t>en la reconfiguración del sistema educativo, y también en la cotidianeidad de las escuelas. Una “nueva forma de hacer escuela”</w:t>
            </w:r>
            <w:r w:rsidR="009662BB">
              <w:rPr>
                <w:szCs w:val="20"/>
                <w:lang w:val="es-CL" w:eastAsia="es-ES_tradnl"/>
              </w:rPr>
              <w:t xml:space="preserve"> (Mejía, 2010)</w:t>
            </w:r>
            <w:r w:rsidR="00AB5917">
              <w:rPr>
                <w:szCs w:val="20"/>
                <w:lang w:val="es-CL" w:eastAsia="es-ES_tradnl"/>
              </w:rPr>
              <w:t xml:space="preserve">, se  impulsa también, con esta reforma.  </w:t>
            </w:r>
            <w:r w:rsidR="009662BB">
              <w:rPr>
                <w:szCs w:val="20"/>
                <w:lang w:val="es-CL" w:eastAsia="es-ES_tradnl"/>
              </w:rPr>
              <w:t xml:space="preserve">Se hace necesario, entonces,  </w:t>
            </w:r>
            <w:r w:rsidR="008A0417" w:rsidRPr="008A0417">
              <w:rPr>
                <w:szCs w:val="20"/>
                <w:lang w:val="es-CL" w:eastAsia="es-ES_tradnl"/>
              </w:rPr>
              <w:t xml:space="preserve">introducir a los futuras/os </w:t>
            </w:r>
            <w:r w:rsidR="008A0417">
              <w:rPr>
                <w:szCs w:val="20"/>
                <w:lang w:val="es-CL" w:eastAsia="es-ES_tradnl"/>
              </w:rPr>
              <w:t xml:space="preserve">psicólogos/as </w:t>
            </w:r>
            <w:r w:rsidR="008A0417" w:rsidRPr="008A0417">
              <w:rPr>
                <w:szCs w:val="20"/>
                <w:lang w:val="es-CL" w:eastAsia="es-ES_tradnl"/>
              </w:rPr>
              <w:t xml:space="preserve"> y cientistas sociales al debate educativo actual desde </w:t>
            </w:r>
            <w:r w:rsidR="009662BB">
              <w:rPr>
                <w:szCs w:val="20"/>
                <w:lang w:val="es-CL" w:eastAsia="es-ES_tradnl"/>
              </w:rPr>
              <w:t xml:space="preserve">esta </w:t>
            </w:r>
            <w:r w:rsidR="008A0417" w:rsidRPr="008A0417">
              <w:rPr>
                <w:szCs w:val="20"/>
                <w:lang w:val="es-CL" w:eastAsia="es-ES_tradnl"/>
              </w:rPr>
              <w:t>perspectiva crítica</w:t>
            </w:r>
            <w:r w:rsidR="009662BB">
              <w:rPr>
                <w:szCs w:val="20"/>
                <w:lang w:val="es-CL" w:eastAsia="es-ES_tradnl"/>
              </w:rPr>
              <w:t xml:space="preserve"> al reforma neoliberal, particularmente desde el caso Chileno, paroxismo de la privatización educativa en Latinoamérica</w:t>
            </w:r>
            <w:r w:rsidR="008A0417" w:rsidRPr="008A0417">
              <w:rPr>
                <w:szCs w:val="20"/>
                <w:lang w:val="es-CL" w:eastAsia="es-ES_tradnl"/>
              </w:rPr>
              <w:t>. Para esto se revisará el proceso de implementación, de funcionamiento y consolidación  de</w:t>
            </w:r>
            <w:r w:rsidR="006147FE">
              <w:rPr>
                <w:szCs w:val="20"/>
                <w:lang w:val="es-CL" w:eastAsia="es-ES_tradnl"/>
              </w:rPr>
              <w:t xml:space="preserve"> </w:t>
            </w:r>
            <w:r w:rsidR="008A0417" w:rsidRPr="008A0417">
              <w:rPr>
                <w:szCs w:val="20"/>
                <w:lang w:val="es-CL" w:eastAsia="es-ES_tradnl"/>
              </w:rPr>
              <w:t>l</w:t>
            </w:r>
            <w:r w:rsidR="006147FE">
              <w:rPr>
                <w:szCs w:val="20"/>
                <w:lang w:val="es-CL" w:eastAsia="es-ES_tradnl"/>
              </w:rPr>
              <w:t>a</w:t>
            </w:r>
            <w:r w:rsidR="008A0417" w:rsidRPr="008A0417">
              <w:rPr>
                <w:szCs w:val="20"/>
                <w:lang w:val="es-CL" w:eastAsia="es-ES_tradnl"/>
              </w:rPr>
              <w:t xml:space="preserve"> </w:t>
            </w:r>
            <w:r w:rsidR="006147FE">
              <w:rPr>
                <w:szCs w:val="20"/>
                <w:lang w:val="es-CL" w:eastAsia="es-ES_tradnl"/>
              </w:rPr>
              <w:t>reforma neoliberal en la educación chilena.</w:t>
            </w:r>
            <w:r w:rsidR="008A0417" w:rsidRPr="008A0417">
              <w:rPr>
                <w:szCs w:val="20"/>
                <w:lang w:val="es-CL" w:eastAsia="es-ES_tradnl"/>
              </w:rPr>
              <w:t xml:space="preserve"> Se revisará la evidencia respecto a las distintas formas de privatización presentes y </w:t>
            </w:r>
            <w:r w:rsidR="006147FE">
              <w:rPr>
                <w:szCs w:val="20"/>
                <w:lang w:val="es-CL" w:eastAsia="es-ES_tradnl"/>
              </w:rPr>
              <w:t xml:space="preserve">las </w:t>
            </w:r>
            <w:r w:rsidR="008A0417" w:rsidRPr="008A0417">
              <w:rPr>
                <w:szCs w:val="20"/>
                <w:lang w:val="es-CL" w:eastAsia="es-ES_tradnl"/>
              </w:rPr>
              <w:t>consecuencias políticas, económicas y educativas</w:t>
            </w:r>
            <w:r w:rsidR="006147FE">
              <w:rPr>
                <w:szCs w:val="20"/>
                <w:lang w:val="es-CL" w:eastAsia="es-ES_tradnl"/>
              </w:rPr>
              <w:t xml:space="preserve"> que tiene </w:t>
            </w:r>
            <w:r w:rsidR="00742945">
              <w:rPr>
                <w:szCs w:val="20"/>
                <w:lang w:val="es-CL" w:eastAsia="es-ES_tradnl"/>
              </w:rPr>
              <w:t>en la escuela chilena</w:t>
            </w:r>
            <w:r w:rsidR="008A0417" w:rsidRPr="008A0417">
              <w:rPr>
                <w:szCs w:val="20"/>
                <w:lang w:val="es-CL" w:eastAsia="es-ES_tradnl"/>
              </w:rPr>
              <w:t>.</w:t>
            </w:r>
            <w:r w:rsidR="00742945">
              <w:rPr>
                <w:szCs w:val="20"/>
                <w:lang w:val="es-CL" w:eastAsia="es-ES_tradnl"/>
              </w:rPr>
              <w:t xml:space="preserve"> </w:t>
            </w:r>
          </w:p>
          <w:p w:rsidR="008A0417" w:rsidRDefault="008A0417" w:rsidP="00EC3594">
            <w:pPr>
              <w:pStyle w:val="DireccinHTML"/>
              <w:rPr>
                <w:lang w:val="es-CL"/>
              </w:rPr>
            </w:pPr>
          </w:p>
          <w:p w:rsidR="008A0417" w:rsidRPr="0002459F" w:rsidRDefault="008A0417" w:rsidP="00EC3594">
            <w:pPr>
              <w:pStyle w:val="DireccinHTML"/>
              <w:rPr>
                <w:lang w:val="es-CL"/>
              </w:rPr>
            </w:pP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20497F" w:rsidRDefault="0020497F" w:rsidP="00B80091">
            <w:pPr>
              <w:rPr>
                <w:b/>
                <w:lang w:val="es-CL"/>
              </w:rPr>
            </w:pPr>
          </w:p>
          <w:p w:rsidR="00B80091" w:rsidRPr="00231FE9" w:rsidRDefault="00B80091" w:rsidP="008A0417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66786A" w:rsidRDefault="0066786A" w:rsidP="00EA5EA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8A0417" w:rsidRDefault="008A0417" w:rsidP="00EA5EA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E80E88" w:rsidRDefault="008A0417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  <w:r>
              <w:t xml:space="preserve">Objetivos general: </w:t>
            </w:r>
          </w:p>
          <w:p w:rsidR="00E80E88" w:rsidRDefault="00E80E88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8A0417" w:rsidRDefault="008A0417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  <w:r>
              <w:t xml:space="preserve">Este curso tiene como propósito </w:t>
            </w:r>
            <w:r w:rsidR="0059479B">
              <w:t xml:space="preserve">analizar la reforma educativa neoliberal </w:t>
            </w:r>
            <w:r w:rsidR="0059479B" w:rsidRPr="008A0417">
              <w:rPr>
                <w:szCs w:val="20"/>
                <w:lang w:val="es-CL" w:eastAsia="es-ES_tradnl"/>
              </w:rPr>
              <w:t xml:space="preserve">y </w:t>
            </w:r>
            <w:r w:rsidR="0059479B">
              <w:rPr>
                <w:szCs w:val="20"/>
                <w:lang w:val="es-CL" w:eastAsia="es-ES_tradnl"/>
              </w:rPr>
              <w:t xml:space="preserve">las </w:t>
            </w:r>
            <w:r w:rsidR="0059479B" w:rsidRPr="008A0417">
              <w:rPr>
                <w:szCs w:val="20"/>
                <w:lang w:val="es-CL" w:eastAsia="es-ES_tradnl"/>
              </w:rPr>
              <w:t>consecuencias políticas, económicas y educativas</w:t>
            </w:r>
            <w:r w:rsidR="0059479B">
              <w:rPr>
                <w:szCs w:val="20"/>
                <w:lang w:val="es-CL" w:eastAsia="es-ES_tradnl"/>
              </w:rPr>
              <w:t xml:space="preserve"> que tiene en la escuela Chilena.</w:t>
            </w:r>
            <w:r w:rsidR="0059479B">
              <w:t xml:space="preserve"> </w:t>
            </w:r>
          </w:p>
          <w:p w:rsidR="0059479B" w:rsidRDefault="0059479B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8A0417" w:rsidRDefault="008A0417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  <w:r>
              <w:t>Objetivos Específicos:</w:t>
            </w:r>
          </w:p>
          <w:p w:rsidR="00E80E88" w:rsidRDefault="00E80E88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8A0417" w:rsidRDefault="008A0417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  <w:r>
              <w:t xml:space="preserve">Revisar el proceso de implementación, de funcionamiento y consolidación  del </w:t>
            </w:r>
            <w:r w:rsidR="00A8487E">
              <w:t xml:space="preserve">actual </w:t>
            </w:r>
            <w:r>
              <w:t xml:space="preserve">sistema educativo Chileno, constituido como un experimento neoliberal para el mundo. </w:t>
            </w:r>
          </w:p>
          <w:p w:rsidR="008A0417" w:rsidRDefault="008A0417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8A0417" w:rsidRDefault="008A0417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  <w:r>
              <w:lastRenderedPageBreak/>
              <w:t xml:space="preserve">Revisar la </w:t>
            </w:r>
            <w:r w:rsidR="00A8487E">
              <w:t>investigación sobre los tipos de privatización educativa y la evidencia en Chile y Latinoamérica.</w:t>
            </w:r>
          </w:p>
          <w:p w:rsidR="00A8487E" w:rsidRDefault="00A8487E" w:rsidP="008A0417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8A0417" w:rsidRDefault="00A8487E" w:rsidP="00EA5EA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  <w:r>
              <w:t>Discutir el impacto de esta reforma en la representación que tenemos de la escuela actualmente</w:t>
            </w:r>
            <w:r w:rsidR="008828CB">
              <w:t xml:space="preserve"> y en la práctica educativa</w:t>
            </w:r>
            <w:r>
              <w:t xml:space="preserve">. </w:t>
            </w:r>
          </w:p>
          <w:p w:rsidR="008A0417" w:rsidRDefault="008A0417" w:rsidP="00EA5EA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  <w:p w:rsidR="008A0417" w:rsidRPr="00F129B2" w:rsidRDefault="008A0417" w:rsidP="00EA5EA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jc w:val="both"/>
            </w:pPr>
          </w:p>
        </w:tc>
      </w:tr>
      <w:tr w:rsidR="00445426" w:rsidRPr="00231FE9" w:rsidTr="00231FE9">
        <w:tc>
          <w:tcPr>
            <w:tcW w:w="8644" w:type="dxa"/>
            <w:gridSpan w:val="2"/>
          </w:tcPr>
          <w:p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IV</w:t>
            </w:r>
            <w:r w:rsidR="00445426" w:rsidRPr="00231FE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231FE9" w:rsidTr="00231FE9">
        <w:tc>
          <w:tcPr>
            <w:tcW w:w="8644" w:type="dxa"/>
            <w:gridSpan w:val="2"/>
          </w:tcPr>
          <w:p w:rsidR="00C618B0" w:rsidRDefault="00C618B0" w:rsidP="00C618B0">
            <w:pPr>
              <w:pStyle w:val="DireccinHTML"/>
              <w:rPr>
                <w:b/>
                <w:lang w:val="es-CL"/>
              </w:rPr>
            </w:pPr>
            <w:r w:rsidRPr="00C618B0">
              <w:rPr>
                <w:b/>
                <w:lang w:val="es-CL"/>
              </w:rPr>
              <w:t>Unidad 1</w:t>
            </w:r>
          </w:p>
          <w:p w:rsidR="008A0417" w:rsidRDefault="008A0417" w:rsidP="00C618B0">
            <w:pPr>
              <w:pStyle w:val="DireccinHTML"/>
              <w:rPr>
                <w:b/>
                <w:lang w:val="es-CL"/>
              </w:rPr>
            </w:pPr>
          </w:p>
          <w:p w:rsidR="008A0417" w:rsidRPr="008A0417" w:rsidRDefault="008A0417" w:rsidP="008A0417">
            <w:pPr>
              <w:pStyle w:val="DireccinHTML"/>
              <w:rPr>
                <w:b/>
                <w:lang w:val="es-CL"/>
              </w:rPr>
            </w:pPr>
            <w:r w:rsidRPr="008A0417">
              <w:rPr>
                <w:b/>
                <w:lang w:val="es-CL"/>
              </w:rPr>
              <w:t xml:space="preserve">Unidad 1: Neoliberalismo y Educación: La Implementación del sistema educativo mercantil en Chile años 80 y 90.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Antecedentes: el Sistema Educativo Estatal: El estado Docente 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La Constitución y la libertad de enseñanza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El  Sistema de Financiamiento: ¿Voucher o financiamiento a la oferta?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Municipalización: ¿Descentralización o desarticulación?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El Financiamiento Compartido: Consolidando la segregación educativa  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Reformas Educativas Neoliberales en Latinoamérica </w:t>
            </w:r>
          </w:p>
          <w:p w:rsidR="008A0417" w:rsidRDefault="008A0417" w:rsidP="008A0417">
            <w:pPr>
              <w:pStyle w:val="DireccinHTML"/>
              <w:rPr>
                <w:b/>
                <w:lang w:val="es-CL"/>
              </w:rPr>
            </w:pPr>
          </w:p>
          <w:p w:rsidR="00A8487E" w:rsidRDefault="008A0417" w:rsidP="008A0417">
            <w:pPr>
              <w:pStyle w:val="DireccinHTML"/>
              <w:rPr>
                <w:b/>
                <w:lang w:val="es-CL"/>
              </w:rPr>
            </w:pPr>
            <w:r w:rsidRPr="008A0417">
              <w:rPr>
                <w:b/>
                <w:lang w:val="es-CL"/>
              </w:rPr>
              <w:t>Unidad 2: Mercantilización y Privatización: Fenómenos complejos</w:t>
            </w:r>
          </w:p>
          <w:p w:rsidR="008A0417" w:rsidRPr="008A0417" w:rsidRDefault="008A0417" w:rsidP="008A0417">
            <w:pPr>
              <w:pStyle w:val="DireccinHTML"/>
              <w:rPr>
                <w:b/>
                <w:lang w:val="es-CL"/>
              </w:rPr>
            </w:pPr>
            <w:r w:rsidRPr="008A0417">
              <w:rPr>
                <w:b/>
                <w:lang w:val="es-CL"/>
              </w:rPr>
              <w:t xml:space="preserve"> 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Escuela y Sociedad: Mercantilización y la Escuela improductiva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Exoprivatización, Endoprivatización y Poder Corporativo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 xml:space="preserve">Evidencias sobre las distintas formas de  privatización : La calidad, la estandarización, la privatización de la provisión, gerenciamiento educativo y Nueva Gestión Pública, </w:t>
            </w:r>
          </w:p>
          <w:p w:rsidR="008A0417" w:rsidRPr="00A8487E" w:rsidRDefault="008A0417" w:rsidP="008A0417">
            <w:pPr>
              <w:pStyle w:val="DireccinHTML"/>
              <w:numPr>
                <w:ilvl w:val="0"/>
                <w:numId w:val="25"/>
              </w:numPr>
              <w:rPr>
                <w:lang w:val="es-CL"/>
              </w:rPr>
            </w:pPr>
            <w:r w:rsidRPr="00A8487E">
              <w:rPr>
                <w:lang w:val="es-CL"/>
              </w:rPr>
              <w:t>Poderes corporativos en la educación global y local.</w:t>
            </w:r>
          </w:p>
          <w:p w:rsidR="008A0417" w:rsidRDefault="008A0417" w:rsidP="00C618B0">
            <w:pPr>
              <w:pStyle w:val="DireccinHTML"/>
              <w:rPr>
                <w:b/>
                <w:lang w:val="es-CL"/>
              </w:rPr>
            </w:pPr>
          </w:p>
          <w:p w:rsidR="00253162" w:rsidRPr="00231FE9" w:rsidRDefault="00253162" w:rsidP="008A0417">
            <w:pPr>
              <w:pStyle w:val="DireccinHTML"/>
              <w:rPr>
                <w:b/>
                <w:lang w:val="es-CL"/>
              </w:rPr>
            </w:pP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V.- Metodología de la actividad curricular</w:t>
            </w: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B709AF" w:rsidRDefault="00B709AF" w:rsidP="00C618B0">
            <w:pPr>
              <w:pStyle w:val="DireccinHTML"/>
              <w:rPr>
                <w:lang w:val="es-CL"/>
              </w:rPr>
            </w:pPr>
          </w:p>
          <w:p w:rsidR="00C618B0" w:rsidRPr="00C618B0" w:rsidRDefault="00C618B0" w:rsidP="00C618B0">
            <w:pPr>
              <w:pStyle w:val="DireccinHTML"/>
              <w:rPr>
                <w:lang w:val="es-CL"/>
              </w:rPr>
            </w:pPr>
            <w:r w:rsidRPr="00C618B0">
              <w:rPr>
                <w:lang w:val="es-CL"/>
              </w:rPr>
              <w:t>El curso tendrá múltiples metodologías:</w:t>
            </w:r>
          </w:p>
          <w:p w:rsidR="00B709AF" w:rsidRDefault="00B709AF" w:rsidP="00C618B0">
            <w:pPr>
              <w:pStyle w:val="DireccinHTML"/>
              <w:rPr>
                <w:lang w:val="es-CL"/>
              </w:rPr>
            </w:pPr>
          </w:p>
          <w:p w:rsidR="00C618B0" w:rsidRPr="00C618B0" w:rsidRDefault="00C618B0" w:rsidP="00C618B0">
            <w:pPr>
              <w:pStyle w:val="DireccinHTML"/>
              <w:rPr>
                <w:lang w:val="es-CL"/>
              </w:rPr>
            </w:pPr>
            <w:r w:rsidRPr="00C618B0">
              <w:rPr>
                <w:lang w:val="es-CL"/>
              </w:rPr>
              <w:t xml:space="preserve">- Clases expositivas tanto de contenidos temáticos, así como análisis de documentos bibliográficos de autores especializados combinados con espacios de debate y discusión. </w:t>
            </w:r>
          </w:p>
          <w:p w:rsidR="00C618B0" w:rsidRPr="00C618B0" w:rsidRDefault="00C618B0" w:rsidP="00C618B0">
            <w:pPr>
              <w:pStyle w:val="DireccinHTML"/>
              <w:rPr>
                <w:lang w:val="es-CL"/>
              </w:rPr>
            </w:pPr>
            <w:r w:rsidRPr="00C618B0">
              <w:rPr>
                <w:lang w:val="es-CL"/>
              </w:rPr>
              <w:t xml:space="preserve">- Talleres Prácticos. Habrá en cada cierre de unidad un taller de integración de contenidos. </w:t>
            </w:r>
          </w:p>
          <w:p w:rsidR="00C618B0" w:rsidRPr="00C618B0" w:rsidRDefault="00C618B0" w:rsidP="00C618B0">
            <w:pPr>
              <w:pStyle w:val="DireccinHTML"/>
              <w:rPr>
                <w:lang w:val="es-CL"/>
              </w:rPr>
            </w:pPr>
            <w:r w:rsidRPr="00C618B0">
              <w:rPr>
                <w:lang w:val="es-CL"/>
              </w:rPr>
              <w:t>- Clases evaluativas: Estas tendrán un carácter sumativo y de formación</w:t>
            </w:r>
          </w:p>
          <w:p w:rsidR="0066786A" w:rsidRPr="00C618B0" w:rsidRDefault="0066786A" w:rsidP="00684473">
            <w:pPr>
              <w:pStyle w:val="DireccinHTML"/>
              <w:rPr>
                <w:lang w:val="es-CL"/>
              </w:rPr>
            </w:pP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B80091" w:rsidRPr="00231FE9" w:rsidRDefault="00B80091" w:rsidP="00D40674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VI.- Evaluación de la actividad curricular</w:t>
            </w: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EC3594" w:rsidRDefault="00B709AF" w:rsidP="00EC3594">
            <w:pPr>
              <w:jc w:val="both"/>
            </w:pPr>
            <w:r>
              <w:t>Se harán 4</w:t>
            </w:r>
            <w:r w:rsidR="00C618B0" w:rsidRPr="00C618B0">
              <w:t xml:space="preserve"> evaluaciones temáticas y una autoevaluación.</w:t>
            </w:r>
            <w:r w:rsidR="002F0929">
              <w:t xml:space="preserve"> Todas tienen el mismo porcen</w:t>
            </w:r>
            <w:r w:rsidR="00EC3594">
              <w:t>taje. Es decir no tienen jera</w:t>
            </w:r>
            <w:r>
              <w:t>r</w:t>
            </w:r>
            <w:r w:rsidR="00EC3594">
              <w:t xml:space="preserve">quías, sólo pretenden ir respondiendo a los objetivos del curso. Tampoco es obligación una linealidad. </w:t>
            </w:r>
          </w:p>
          <w:p w:rsidR="00960FE4" w:rsidRDefault="00EC3594" w:rsidP="00EC3594">
            <w:pPr>
              <w:jc w:val="both"/>
            </w:pPr>
            <w:r>
              <w:t xml:space="preserve">Evaluación 1: </w:t>
            </w:r>
            <w:r w:rsidR="008A0417">
              <w:t>Unidad 1</w:t>
            </w:r>
          </w:p>
          <w:p w:rsidR="00960FE4" w:rsidRDefault="00960FE4" w:rsidP="00EC3594">
            <w:pPr>
              <w:jc w:val="both"/>
            </w:pPr>
            <w:r>
              <w:t xml:space="preserve">Evaluación 2: </w:t>
            </w:r>
            <w:r w:rsidR="008A0417">
              <w:t>Unidad 2</w:t>
            </w:r>
          </w:p>
          <w:p w:rsidR="008A0417" w:rsidRDefault="00960FE4" w:rsidP="00EC3594">
            <w:pPr>
              <w:jc w:val="both"/>
            </w:pPr>
            <w:r>
              <w:t xml:space="preserve">Evaluación 3: </w:t>
            </w:r>
            <w:r w:rsidR="008A0417">
              <w:t xml:space="preserve">Trabajo final </w:t>
            </w:r>
          </w:p>
          <w:p w:rsidR="00960FE4" w:rsidRDefault="00960FE4" w:rsidP="00EC3594">
            <w:pPr>
              <w:jc w:val="both"/>
            </w:pPr>
            <w:r>
              <w:t>E</w:t>
            </w:r>
            <w:r w:rsidR="002B572C">
              <w:t>valuación 4: Informe de autoapre</w:t>
            </w:r>
            <w:r>
              <w:t>ndizaje y auto-evaluación.</w:t>
            </w:r>
          </w:p>
          <w:p w:rsidR="00253162" w:rsidRDefault="00253162" w:rsidP="00925454">
            <w:pPr>
              <w:jc w:val="both"/>
            </w:pPr>
          </w:p>
          <w:p w:rsidR="00D40674" w:rsidRPr="00925454" w:rsidRDefault="00D40674" w:rsidP="00925454">
            <w:pPr>
              <w:jc w:val="both"/>
            </w:pP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VII</w:t>
            </w:r>
            <w:r w:rsidR="00B80091" w:rsidRPr="00231FE9">
              <w:rPr>
                <w:b/>
                <w:lang w:val="es-CL"/>
              </w:rPr>
              <w:t>.- Bibliografía básica y obligatoria de la actividad curricular</w:t>
            </w:r>
          </w:p>
        </w:tc>
      </w:tr>
      <w:tr w:rsidR="00B80091" w:rsidRPr="002C6859" w:rsidTr="00231FE9">
        <w:tc>
          <w:tcPr>
            <w:tcW w:w="8644" w:type="dxa"/>
            <w:gridSpan w:val="2"/>
          </w:tcPr>
          <w:p w:rsidR="002C6859" w:rsidRDefault="002C6859" w:rsidP="002C6859"/>
          <w:p w:rsidR="002C6859" w:rsidRDefault="002C6859" w:rsidP="002C6859">
            <w:r>
              <w:t xml:space="preserve">ASSAEL J., CORNEJO R., GONZÁLEZ J., SÁNCHEZ R. , SOBARZO M. (2010) La empresa educativa en Chile. . Educ. Soc., Campinas, v. 32, n. 115, p. 305-322, abr.-jun. 2011. </w:t>
            </w:r>
          </w:p>
          <w:p w:rsidR="004B1AA5" w:rsidRDefault="004B1AA5" w:rsidP="004B1AA5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kern w:val="0"/>
                <w:sz w:val="24"/>
                <w:szCs w:val="24"/>
              </w:rPr>
            </w:pPr>
          </w:p>
          <w:p w:rsidR="004B1AA5" w:rsidRDefault="004B1AA5" w:rsidP="004B1AA5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</w:pPr>
            <w:r w:rsidRPr="0018044C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Ball, Stephen J., &amp;Youdell, Deborah (2007). </w:t>
            </w:r>
            <w:r w:rsidRPr="001804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Privatización encubierta en la educación. </w:t>
            </w:r>
            <w:r w:rsidRPr="0018044C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Instituto de Educación, Universidad de Londres</w:t>
            </w:r>
          </w:p>
          <w:p w:rsidR="004B1AA5" w:rsidRDefault="004B1AA5" w:rsidP="004B1AA5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1AA5" w:rsidRPr="0018044C" w:rsidRDefault="004B1AA5" w:rsidP="004B1AA5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4C">
              <w:rPr>
                <w:rFonts w:ascii="Arial" w:hAnsi="Arial" w:cs="Arial"/>
                <w:sz w:val="24"/>
                <w:szCs w:val="24"/>
              </w:rPr>
              <w:t>CLADE (2015).Mapeo sobre tendencias de la privatización de la educación en América Latina y el Caribe. Campaña Latinoamericana por el Derecho a la Educación (CLADE), Sao Paulo.</w:t>
            </w:r>
          </w:p>
          <w:p w:rsidR="004B1AA5" w:rsidRPr="0018044C" w:rsidRDefault="004B1AA5" w:rsidP="004B1AA5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675B4" w:rsidRPr="0018044C" w:rsidRDefault="00C675B4" w:rsidP="00C675B4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Style w:val="EnlacedeInternet"/>
                <w:rFonts w:ascii="Arial" w:hAnsi="Arial" w:cs="Arial"/>
                <w:sz w:val="24"/>
                <w:szCs w:val="24"/>
              </w:rPr>
            </w:pPr>
            <w:r w:rsidRPr="0018044C">
              <w:rPr>
                <w:rFonts w:ascii="Arial" w:hAnsi="Arial" w:cs="Arial"/>
                <w:sz w:val="24"/>
                <w:szCs w:val="24"/>
              </w:rPr>
              <w:t xml:space="preserve">HIRT, NICO (2003). Los tres ejes de la mercantilización escolar. Traducido al español por Beatriz Quirós, SUATEA–STEs. En: </w:t>
            </w:r>
            <w:hyperlink r:id="rId7">
              <w:r w:rsidRPr="0018044C">
                <w:rPr>
                  <w:rStyle w:val="EnlacedeInternet"/>
                  <w:rFonts w:ascii="Arial" w:hAnsi="Arial" w:cs="Arial"/>
                  <w:sz w:val="24"/>
                  <w:szCs w:val="24"/>
                </w:rPr>
                <w:t>http://www.stes.es/socio/nico/3ejes.pdf</w:t>
              </w:r>
            </w:hyperlink>
          </w:p>
          <w:p w:rsidR="004B1AA5" w:rsidRDefault="004B1AA5" w:rsidP="002C6859"/>
          <w:p w:rsidR="002C6859" w:rsidRDefault="002C6859" w:rsidP="002C6859">
            <w:r>
              <w:t>RIESCO, M. (2011). La necesidad de reconstruir el sistema nacional de educación público desmantelado por la dictadura y la LOCE. Pensamiento Educativo. Revista De Investigación Educacional Latinoamericana, 40(1), 243-261.</w:t>
            </w:r>
          </w:p>
          <w:p w:rsidR="002C6859" w:rsidRDefault="002C6859" w:rsidP="002C6859"/>
          <w:p w:rsidR="002C6859" w:rsidRDefault="00C675B4" w:rsidP="002C6859">
            <w:pPr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</w:pPr>
            <w:r w:rsidRPr="0018044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REDONDO, J. M. (2005). El experimento chileno en educación:¿ Conduce a mayor equidad y calidad en la educación?.</w:t>
            </w:r>
            <w:r w:rsidRPr="0018044C">
              <w:rPr>
                <w:rStyle w:val="apple-converted-space"/>
                <w:rFonts w:ascii="Arial" w:hAnsi="Arial" w:cs="Arial"/>
                <w:color w:val="222222"/>
                <w:szCs w:val="22"/>
                <w:shd w:val="clear" w:color="auto" w:fill="FFFFFF"/>
              </w:rPr>
              <w:t> </w:t>
            </w:r>
            <w:r w:rsidRPr="0018044C">
              <w:rPr>
                <w:rFonts w:ascii="Arial" w:hAnsi="Arial" w:cs="Arial"/>
                <w:iCs/>
                <w:color w:val="222222"/>
                <w:szCs w:val="22"/>
                <w:shd w:val="clear" w:color="auto" w:fill="FFFFFF"/>
              </w:rPr>
              <w:t>Última década</w:t>
            </w:r>
            <w:r w:rsidRPr="0018044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,</w:t>
            </w:r>
            <w:r w:rsidRPr="0018044C">
              <w:rPr>
                <w:rStyle w:val="apple-converted-space"/>
                <w:rFonts w:ascii="Arial" w:hAnsi="Arial" w:cs="Arial"/>
                <w:color w:val="222222"/>
                <w:szCs w:val="22"/>
                <w:shd w:val="clear" w:color="auto" w:fill="FFFFFF"/>
              </w:rPr>
              <w:t> </w:t>
            </w:r>
            <w:r w:rsidRPr="0018044C">
              <w:rPr>
                <w:rFonts w:ascii="Arial" w:hAnsi="Arial" w:cs="Arial"/>
                <w:iCs/>
                <w:color w:val="222222"/>
                <w:szCs w:val="22"/>
                <w:shd w:val="clear" w:color="auto" w:fill="FFFFFF"/>
              </w:rPr>
              <w:t>13</w:t>
            </w:r>
            <w:r w:rsidRPr="0018044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(22), 95-110</w:t>
            </w:r>
          </w:p>
          <w:p w:rsidR="00C675B4" w:rsidRDefault="00C675B4" w:rsidP="002C6859">
            <w:pPr>
              <w:rPr>
                <w:rFonts w:ascii="Arial" w:hAnsi="Arial" w:cs="Arial"/>
                <w:lang w:val="es-CL"/>
              </w:rPr>
            </w:pPr>
          </w:p>
          <w:p w:rsidR="00C675B4" w:rsidRDefault="00C675B4" w:rsidP="002C6859">
            <w:pPr>
              <w:rPr>
                <w:rFonts w:ascii="Arial" w:hAnsi="Arial" w:cs="Arial"/>
                <w:lang w:val="es-CL"/>
              </w:rPr>
            </w:pPr>
            <w:r w:rsidRPr="0018044C">
              <w:rPr>
                <w:rFonts w:ascii="Arial" w:hAnsi="Arial" w:cs="Arial"/>
                <w:lang w:val="es-CL"/>
              </w:rPr>
              <w:t>REDONDO, JESÚS M., DESCOUVIÈRES, CARLOS, &amp; ROJAS, KARINA (2004). </w:t>
            </w:r>
            <w:r w:rsidRPr="0018044C">
              <w:rPr>
                <w:rFonts w:ascii="Arial" w:hAnsi="Arial" w:cs="Arial"/>
                <w:iCs/>
                <w:lang w:val="es-CL"/>
              </w:rPr>
              <w:t>Equidad y calidad de la educación en Chile: Reflexiones e investigaciones de eficiencia de la educación obligatoria (1990-2001)</w:t>
            </w:r>
            <w:r w:rsidRPr="0018044C">
              <w:rPr>
                <w:rFonts w:ascii="Arial" w:hAnsi="Arial" w:cs="Arial"/>
                <w:lang w:val="es-CL"/>
              </w:rPr>
              <w:t>. Universidad de Chile, Facultad Ciencias Sociales, Vicerrectoría Investigación</w:t>
            </w:r>
          </w:p>
          <w:p w:rsidR="00C675B4" w:rsidRDefault="00C675B4" w:rsidP="002C6859"/>
          <w:p w:rsidR="002C6859" w:rsidRDefault="002C6859" w:rsidP="002C6859">
            <w:r>
              <w:t>ALMONACID, C. La Educación Particular Subvencionada como Cooperadora del Estado. En: Bellei, C; Contreras, D; Valenzuela, J. (eds.).La Agenda Pendiente en Educación. Profesores, Administradores y Recursos: Propuestas para la Nueva Arquitectura de la Educación Chilena. Santiago de Chile: Programa de Investigación en Educación, Universidad de Chile/UNICEF,2008.p. 156-182.</w:t>
            </w:r>
          </w:p>
          <w:p w:rsidR="002C6859" w:rsidRDefault="002C6859" w:rsidP="002C6859"/>
          <w:p w:rsidR="002C6859" w:rsidRDefault="002C6859" w:rsidP="002C6859">
            <w:r>
              <w:t xml:space="preserve">FUNDACIÓN SOL. El desalojo de la Educación Pública. Ideas para el Buen Vivir, n.1, , p. 1-13, nov., 2011. Disponible en:http://www.fundacionsol.cl/wp-content/uploads/2011/12/Ideas-1-Institucionalidad-y-Desarrollo.pdf. Recuperado: 29 nov. 2011. </w:t>
            </w:r>
          </w:p>
          <w:p w:rsidR="002C6859" w:rsidRDefault="002C6859" w:rsidP="002C6859"/>
          <w:p w:rsidR="002C6859" w:rsidRDefault="002C6859" w:rsidP="002C6859">
            <w:r>
              <w:t>VERGER, A. (2013). Nuevas Tendencias de privatización educativa. Las alianzas público privadas en educación. Disponible enhttp://educacionparatodos.cl/wp/wp-content/uploads/2013/03/Cuaderno-del-Foro-Equidad-y-Financiamiento-de-la-Educaci%C3%B3n.pdf. Extraído: 7 ene. 2014.</w:t>
            </w:r>
          </w:p>
          <w:p w:rsidR="002C6859" w:rsidRDefault="002C6859" w:rsidP="002C6859"/>
          <w:p w:rsidR="00253162" w:rsidRDefault="00253162" w:rsidP="00C618B0">
            <w:pPr>
              <w:rPr>
                <w:lang w:val="en-US"/>
              </w:rPr>
            </w:pPr>
          </w:p>
          <w:p w:rsidR="00D40674" w:rsidRPr="002C6859" w:rsidRDefault="00D40674" w:rsidP="00C618B0">
            <w:pPr>
              <w:rPr>
                <w:lang w:val="en-US"/>
              </w:rPr>
            </w:pPr>
          </w:p>
          <w:p w:rsidR="00253162" w:rsidRPr="002C6859" w:rsidRDefault="00253162" w:rsidP="00C618B0">
            <w:pPr>
              <w:rPr>
                <w:lang w:val="en-US"/>
              </w:rPr>
            </w:pPr>
          </w:p>
        </w:tc>
      </w:tr>
      <w:tr w:rsidR="00B80091" w:rsidRPr="00231FE9" w:rsidTr="00231FE9">
        <w:tc>
          <w:tcPr>
            <w:tcW w:w="8644" w:type="dxa"/>
            <w:gridSpan w:val="2"/>
          </w:tcPr>
          <w:p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VIII</w:t>
            </w:r>
            <w:r w:rsidR="00B80091" w:rsidRPr="00231FE9">
              <w:rPr>
                <w:b/>
                <w:lang w:val="es-CL"/>
              </w:rPr>
              <w:t>.- Bibliografía complementaria</w:t>
            </w:r>
          </w:p>
        </w:tc>
      </w:tr>
      <w:tr w:rsidR="00B80091" w:rsidRPr="002C6859" w:rsidTr="00231FE9">
        <w:tc>
          <w:tcPr>
            <w:tcW w:w="8644" w:type="dxa"/>
            <w:gridSpan w:val="2"/>
          </w:tcPr>
          <w:p w:rsidR="00253162" w:rsidRDefault="00253162" w:rsidP="00C618B0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ALMONACID, C. Un cuasimercado Educacional: la Escuela Privada Subvencionada en Chile. Revista de Educación,  n.333. 165-196, 2004.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BALL, S.; CORBALÁN, F. Un nuevo escenario para la política y el negocio educativos. Cuadernos de Pedagogía, n. 435, p. 1-5, jun. 2013.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BRAHM, L.; CARIOLA, P.; SILVA, J. La educación particular en Chile: antecedentes y dilemas. Santiago de Chile:Centro de Investigación y Desarrollo de la Educación (CIDE), 1971.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GONZÁLEZ, J Y PARRA D.(2012) El proyecto educativo del complejo religioso empresarial y las políticas de la Nueva Derecha. Juan González, Diego Parra, Sebastián Ligueño. Revista de Pedagogía Militante. Diatriba  N 2. Editorial Quimantú  Agosto 2012. http://colectivodiatriba.files.wordpress.com/2012/12/revista-diatriba-nc2ba21.pdf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 xml:space="preserve">CHILE: Los Desafíos de la Educación Superior: Informe del Consejo Asesor Presidencial, 2008 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Default="00EE7681" w:rsidP="002C6859">
            <w:pPr>
              <w:rPr>
                <w:lang w:val="es-CL"/>
              </w:rPr>
            </w:pPr>
            <w:r w:rsidRPr="00EE7681">
              <w:rPr>
                <w:lang w:val="es-CL"/>
              </w:rPr>
              <w:t xml:space="preserve">FORO POR EL DERECHO A LA EDUCACIÓN – Chile [compilador] (2015) “Una década de luchas y propuestas por el derecho a la educación.  La palabra de los Movimientos Sociales”. En: </w:t>
            </w:r>
            <w:hyperlink r:id="rId8">
              <w:r w:rsidRPr="00EE7681">
                <w:rPr>
                  <w:lang w:val="es-CL"/>
                </w:rPr>
                <w:t>http://www.opech.cl/wp/wp-content/uploads/2015/08/D%C3%A9cada-luchas.pdf</w:t>
              </w:r>
            </w:hyperlink>
          </w:p>
          <w:p w:rsidR="00EE7681" w:rsidRPr="00EE7681" w:rsidRDefault="00EE7681" w:rsidP="00EE7681">
            <w:pPr>
              <w:rPr>
                <w:lang w:val="es-CL"/>
              </w:rPr>
            </w:pPr>
          </w:p>
          <w:p w:rsidR="00EE7681" w:rsidRPr="00EE7681" w:rsidRDefault="00EE7681" w:rsidP="00EE7681">
            <w:pPr>
              <w:rPr>
                <w:lang w:val="es-CL"/>
              </w:rPr>
            </w:pPr>
            <w:r w:rsidRPr="00EE7681">
              <w:rPr>
                <w:lang w:val="es-CL"/>
              </w:rPr>
              <w:t>GONZÁLEZ, J. Y PARRA, D. (2015). Privatización de la educación y poder corporativo: El fenómeno en una comuna urbano-popular en Santiago de Chile. Mimeo</w:t>
            </w:r>
          </w:p>
          <w:p w:rsidR="00EE7681" w:rsidRDefault="00EE7681" w:rsidP="002C6859">
            <w:pPr>
              <w:rPr>
                <w:lang w:val="es-CL"/>
              </w:rPr>
            </w:pPr>
          </w:p>
          <w:p w:rsidR="00EE7681" w:rsidRPr="002C6859" w:rsidRDefault="00EE7681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GONZÁLEZ, J.; LIGÜEÑO, S.; PARRA, D. (a)¿Cómo poner fin al lucro en educación?” En: Centro Alerta (ed.). 2011: Aportes para interpretar una década de lucha por autoeducación. Santiago de Chile: Quimantú,2012. p. 113-122.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 xml:space="preserve">GONZÁLEZ, J. et al. Gubernamentalidad y provisión educativa privada en Chile. Reflexiones a partir de la identificación de la propiedad y dinámica de la oferta educativa privada en la Región Metropolitana. En:Oyarzún, K. (Comp.).Sujetos y 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 xml:space="preserve">Actores Sociales: Reflexiones en el Chile de Hoy. Santiago: Universidad de Chile; Vice-Rectoria de Investigación; Facultad de Ciencias Sociales, 2010. p. 67-97. 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JOFRÉ, G. El Sistema de Subvenciones en Educación: La Experiencia Chilena. Revista Centro Estudios Públicos, n. 32, p. 192-237, 1988.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MÖNCKEBERG, M. El negocio de las universidades en Chile. Santiago de Chile: Debate, 2005.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 xml:space="preserve">INZUNZA, JORGE. (2009) La Construcción del Derecho a la Educación y la Institucionalidad Educativa en Chile. OPECH Universidad de Chile. www.opech.cl 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 xml:space="preserve">KREMERMAN M. (2009). Radiografía del Financiamiento del Educación Chilena.www.opech.cl 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PROGRAMA DE GOBIERNO MICHELLE BACHELLET 1914-1918.Octubre, 2013. Disponible en:http://michellebachelet.cl/programa/. Recuperado: 21 nov. 2013.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RAMÍREZ, O; MUÑOZ, P.; HURTADO, M.Documentos especiales:La crisis educacional.Santiago de Chile:Quimantú, 1973.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RIESCO, M. Se derrumba un mito. Chile reforma sus sistemas privatizados de educación y previsión. Centro de Estudios Nacionales de Desarrollo Alternativo (CENDA). Santiago de Chile: LOM Ediciones, 2007.</w:t>
            </w:r>
          </w:p>
          <w:p w:rsid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CHILE: Informe de la Comisión investigadora sobre el funcionamiento de la Educación Superior, 2012.</w:t>
            </w:r>
          </w:p>
          <w:p w:rsidR="00EE7681" w:rsidRDefault="00EE7681" w:rsidP="00EE7681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7681" w:rsidRPr="0018044C" w:rsidRDefault="00EE7681" w:rsidP="00EE7681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4C">
              <w:rPr>
                <w:rFonts w:ascii="Arial" w:hAnsi="Arial" w:cs="Arial"/>
                <w:sz w:val="24"/>
                <w:szCs w:val="24"/>
              </w:rPr>
              <w:t>Gajardo, Marcela (1999). Reformas educativas en américa latina. Balance de una década. Cuaderno de trabajo N° 15, Santiago de Chile: Programa de Promoción de la Reforma Educativa en América Latina y el Caribe (PREAL).</w:t>
            </w:r>
          </w:p>
          <w:p w:rsidR="00EE7681" w:rsidRPr="0018044C" w:rsidRDefault="00EE7681" w:rsidP="00EE7681">
            <w:pPr>
              <w:pStyle w:val="Prrafodelista"/>
              <w:rPr>
                <w:rFonts w:ascii="DejaVu Sans" w:hAnsi="DejaVu Sans" w:cs="font292"/>
                <w:color w:val="222222"/>
                <w:sz w:val="24"/>
                <w:szCs w:val="24"/>
                <w:shd w:val="clear" w:color="auto" w:fill="FFFFFF"/>
              </w:rPr>
            </w:pPr>
          </w:p>
          <w:p w:rsidR="00EE7681" w:rsidRPr="00EE7681" w:rsidRDefault="00EE7681" w:rsidP="002C6859"/>
          <w:p w:rsidR="002C6859" w:rsidRDefault="002C6859" w:rsidP="002C6859">
            <w:pPr>
              <w:rPr>
                <w:lang w:val="es-CL"/>
              </w:rPr>
            </w:pPr>
          </w:p>
          <w:p w:rsidR="00EE7681" w:rsidRPr="002C6859" w:rsidRDefault="00EE7681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ORGANIZACION PARA LA COOPERACION Y EL DESARROLLO ECONOMICO (OCDE). Education at a Glance 2014: OECD Indicators. OECD Publishing, 2014.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31FE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MADERO, C. &amp; MADERO, I. Elección escolar y selección estudiantil en el sistema escolar chileno. ¿Quién elige a quién?: el caso de la educación católica. Revista Mexicana de Investigación Educativa, Vol. 17, n. 55, octubre-diciembre, p. 1267-1295, 2012.</w:t>
            </w:r>
          </w:p>
          <w:p w:rsidR="002C6859" w:rsidRP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n-US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VERA, J. La ENU como representación de la lucha político–ideológica durante la unidad popular.Revista Divergencia,n. 1, p. 73-94, ene.-jun. 2012.</w:t>
            </w:r>
          </w:p>
          <w:p w:rsidR="002C6859" w:rsidRDefault="002C6859" w:rsidP="00C618B0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 xml:space="preserve">Recursos web </w:t>
            </w:r>
          </w:p>
          <w:p w:rsid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Observatorio Chileno de Políticas Educativas www.opech.cl</w:t>
            </w:r>
          </w:p>
          <w:p w:rsid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Campaña Latinoamericana por el Derecho la Educación CLADE http://www.campanaderechoeducacion.org/privatizacion/</w:t>
            </w:r>
          </w:p>
          <w:p w:rsid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Grupo de Estudios e Investigación en Políticas Educativas. Universidad de Campinas Brasil https://greppe.wordpress.com</w:t>
            </w:r>
          </w:p>
          <w:p w:rsidR="002C6859" w:rsidRDefault="002C6859" w:rsidP="002C6859">
            <w:pPr>
              <w:rPr>
                <w:lang w:val="es-CL"/>
              </w:rPr>
            </w:pPr>
          </w:p>
          <w:p w:rsidR="002C6859" w:rsidRPr="002C6859" w:rsidRDefault="002C6859" w:rsidP="002C6859">
            <w:pPr>
              <w:rPr>
                <w:lang w:val="es-CL"/>
              </w:rPr>
            </w:pPr>
            <w:r w:rsidRPr="002C6859">
              <w:rPr>
                <w:lang w:val="es-CL"/>
              </w:rPr>
              <w:t>Centro de Estudios MINEDUC   http://centroestudios.mineduc.cl/index.php?t=96</w:t>
            </w:r>
          </w:p>
          <w:p w:rsidR="002C6859" w:rsidRPr="002C6859" w:rsidRDefault="002C6859" w:rsidP="002C6859">
            <w:pPr>
              <w:rPr>
                <w:lang w:val="en-US"/>
              </w:rPr>
            </w:pPr>
            <w:r w:rsidRPr="002C6859">
              <w:rPr>
                <w:lang w:val="en-US"/>
              </w:rPr>
              <w:t>Education Policy Analysis Archives     http://epaa.asu.edu/ojs/}</w:t>
            </w:r>
          </w:p>
          <w:p w:rsidR="002C6859" w:rsidRPr="002C6859" w:rsidRDefault="002C6859" w:rsidP="00C618B0">
            <w:pPr>
              <w:rPr>
                <w:lang w:val="en-US"/>
              </w:rPr>
            </w:pPr>
          </w:p>
        </w:tc>
      </w:tr>
    </w:tbl>
    <w:p w:rsidR="00484BA2" w:rsidRPr="002C6859" w:rsidRDefault="00484BA2">
      <w:pPr>
        <w:rPr>
          <w:lang w:val="en-US"/>
        </w:rPr>
      </w:pPr>
      <w:r w:rsidRPr="002C6859">
        <w:rPr>
          <w:lang w:val="en-US"/>
        </w:rPr>
        <w:lastRenderedPageBreak/>
        <w:t xml:space="preserve">  </w:t>
      </w:r>
    </w:p>
    <w:sectPr w:rsidR="00484BA2" w:rsidRPr="002C6859" w:rsidSect="00692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font292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BB0A02"/>
    <w:multiLevelType w:val="hybridMultilevel"/>
    <w:tmpl w:val="545A57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2D3E6D"/>
    <w:multiLevelType w:val="hybridMultilevel"/>
    <w:tmpl w:val="679084C0"/>
    <w:lvl w:ilvl="0" w:tplc="36083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B85DF5"/>
    <w:multiLevelType w:val="hybridMultilevel"/>
    <w:tmpl w:val="E804866E"/>
    <w:lvl w:ilvl="0" w:tplc="396AE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A0442C4"/>
    <w:multiLevelType w:val="hybridMultilevel"/>
    <w:tmpl w:val="62140298"/>
    <w:lvl w:ilvl="0" w:tplc="AE80E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9"/>
  </w:num>
  <w:num w:numId="5">
    <w:abstractNumId w:val="20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23"/>
  </w:num>
  <w:num w:numId="11">
    <w:abstractNumId w:val="8"/>
  </w:num>
  <w:num w:numId="12">
    <w:abstractNumId w:val="21"/>
  </w:num>
  <w:num w:numId="13">
    <w:abstractNumId w:val="17"/>
  </w:num>
  <w:num w:numId="14">
    <w:abstractNumId w:val="11"/>
  </w:num>
  <w:num w:numId="15">
    <w:abstractNumId w:val="6"/>
  </w:num>
  <w:num w:numId="16">
    <w:abstractNumId w:val="1"/>
  </w:num>
  <w:num w:numId="17">
    <w:abstractNumId w:val="24"/>
  </w:num>
  <w:num w:numId="18">
    <w:abstractNumId w:val="7"/>
  </w:num>
  <w:num w:numId="19">
    <w:abstractNumId w:val="25"/>
  </w:num>
  <w:num w:numId="20">
    <w:abstractNumId w:val="4"/>
  </w:num>
  <w:num w:numId="21">
    <w:abstractNumId w:val="3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0206C"/>
    <w:rsid w:val="0001452C"/>
    <w:rsid w:val="0002459F"/>
    <w:rsid w:val="000655A8"/>
    <w:rsid w:val="00090CC9"/>
    <w:rsid w:val="000A1410"/>
    <w:rsid w:val="000E58F5"/>
    <w:rsid w:val="00102156"/>
    <w:rsid w:val="0010595E"/>
    <w:rsid w:val="00121BD6"/>
    <w:rsid w:val="00124628"/>
    <w:rsid w:val="00181786"/>
    <w:rsid w:val="001B1448"/>
    <w:rsid w:val="001E36E8"/>
    <w:rsid w:val="001E6E1C"/>
    <w:rsid w:val="0020497F"/>
    <w:rsid w:val="002163F1"/>
    <w:rsid w:val="00231FE9"/>
    <w:rsid w:val="0023376E"/>
    <w:rsid w:val="00253162"/>
    <w:rsid w:val="002772FA"/>
    <w:rsid w:val="002A1A00"/>
    <w:rsid w:val="002A34F9"/>
    <w:rsid w:val="002A71A4"/>
    <w:rsid w:val="002B572C"/>
    <w:rsid w:val="002C6859"/>
    <w:rsid w:val="002F0929"/>
    <w:rsid w:val="002F1A9D"/>
    <w:rsid w:val="00303D02"/>
    <w:rsid w:val="00313CFC"/>
    <w:rsid w:val="00326CC5"/>
    <w:rsid w:val="003A1C23"/>
    <w:rsid w:val="0041284F"/>
    <w:rsid w:val="00415D3D"/>
    <w:rsid w:val="00445426"/>
    <w:rsid w:val="00450434"/>
    <w:rsid w:val="00460ABC"/>
    <w:rsid w:val="00484BA2"/>
    <w:rsid w:val="004B1AA5"/>
    <w:rsid w:val="004F7C8C"/>
    <w:rsid w:val="005612AD"/>
    <w:rsid w:val="00571E9C"/>
    <w:rsid w:val="005850F4"/>
    <w:rsid w:val="00593161"/>
    <w:rsid w:val="00593F8A"/>
    <w:rsid w:val="0059479B"/>
    <w:rsid w:val="00601364"/>
    <w:rsid w:val="0060483D"/>
    <w:rsid w:val="006147FE"/>
    <w:rsid w:val="0066786A"/>
    <w:rsid w:val="00684473"/>
    <w:rsid w:val="00686F88"/>
    <w:rsid w:val="00692626"/>
    <w:rsid w:val="006D591D"/>
    <w:rsid w:val="006E6393"/>
    <w:rsid w:val="00742945"/>
    <w:rsid w:val="007B070B"/>
    <w:rsid w:val="007C59A9"/>
    <w:rsid w:val="007D105F"/>
    <w:rsid w:val="007E52E5"/>
    <w:rsid w:val="00814DC4"/>
    <w:rsid w:val="0084499C"/>
    <w:rsid w:val="00861AA9"/>
    <w:rsid w:val="00870FBD"/>
    <w:rsid w:val="008828CB"/>
    <w:rsid w:val="008A0417"/>
    <w:rsid w:val="008A6D6E"/>
    <w:rsid w:val="008D4F76"/>
    <w:rsid w:val="008E0A17"/>
    <w:rsid w:val="00905249"/>
    <w:rsid w:val="00925454"/>
    <w:rsid w:val="009257F4"/>
    <w:rsid w:val="00960FE4"/>
    <w:rsid w:val="009662BB"/>
    <w:rsid w:val="009910BE"/>
    <w:rsid w:val="009B4698"/>
    <w:rsid w:val="00A46641"/>
    <w:rsid w:val="00A6522F"/>
    <w:rsid w:val="00A674EB"/>
    <w:rsid w:val="00A8487E"/>
    <w:rsid w:val="00AB5917"/>
    <w:rsid w:val="00AC0533"/>
    <w:rsid w:val="00B211B1"/>
    <w:rsid w:val="00B21992"/>
    <w:rsid w:val="00B55A33"/>
    <w:rsid w:val="00B709AF"/>
    <w:rsid w:val="00B72250"/>
    <w:rsid w:val="00B80091"/>
    <w:rsid w:val="00B8403D"/>
    <w:rsid w:val="00B84A0F"/>
    <w:rsid w:val="00B971F5"/>
    <w:rsid w:val="00BA1930"/>
    <w:rsid w:val="00BB0463"/>
    <w:rsid w:val="00BC769F"/>
    <w:rsid w:val="00C10338"/>
    <w:rsid w:val="00C33C20"/>
    <w:rsid w:val="00C618B0"/>
    <w:rsid w:val="00C675B4"/>
    <w:rsid w:val="00C81A98"/>
    <w:rsid w:val="00CC5412"/>
    <w:rsid w:val="00CD30F6"/>
    <w:rsid w:val="00CE7CC8"/>
    <w:rsid w:val="00D13561"/>
    <w:rsid w:val="00D335C8"/>
    <w:rsid w:val="00D40674"/>
    <w:rsid w:val="00D758FC"/>
    <w:rsid w:val="00D95CA2"/>
    <w:rsid w:val="00DB1BF6"/>
    <w:rsid w:val="00DD022A"/>
    <w:rsid w:val="00DE22AB"/>
    <w:rsid w:val="00E26F8F"/>
    <w:rsid w:val="00E603A0"/>
    <w:rsid w:val="00E61C5A"/>
    <w:rsid w:val="00E80E88"/>
    <w:rsid w:val="00EA5EAE"/>
    <w:rsid w:val="00EB458F"/>
    <w:rsid w:val="00EC3594"/>
    <w:rsid w:val="00EE2769"/>
    <w:rsid w:val="00EE7681"/>
    <w:rsid w:val="00F129B2"/>
    <w:rsid w:val="00F41E32"/>
    <w:rsid w:val="00F6195C"/>
    <w:rsid w:val="00F648F8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62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4B1AA5"/>
    <w:pPr>
      <w:suppressAutoHyphens/>
      <w:ind w:left="720"/>
      <w:contextualSpacing/>
    </w:pPr>
    <w:rPr>
      <w:kern w:val="1"/>
      <w:sz w:val="20"/>
      <w:szCs w:val="20"/>
    </w:rPr>
  </w:style>
  <w:style w:type="character" w:customStyle="1" w:styleId="EnlacedeInternet">
    <w:name w:val="Enlace de Internet"/>
    <w:basedOn w:val="Fuentedeprrafopredeter"/>
    <w:unhideWhenUsed/>
    <w:rsid w:val="00EE768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67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62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4B1AA5"/>
    <w:pPr>
      <w:suppressAutoHyphens/>
      <w:ind w:left="720"/>
      <w:contextualSpacing/>
    </w:pPr>
    <w:rPr>
      <w:kern w:val="1"/>
      <w:sz w:val="20"/>
      <w:szCs w:val="20"/>
    </w:rPr>
  </w:style>
  <w:style w:type="character" w:customStyle="1" w:styleId="EnlacedeInternet">
    <w:name w:val="Enlace de Internet"/>
    <w:basedOn w:val="Fuentedeprrafopredeter"/>
    <w:unhideWhenUsed/>
    <w:rsid w:val="00EE768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6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ch.cl/wp/wp-content/uploads/2015/08/D&#233;cada-lucha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es.es/socio/nico/3ej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Flor</cp:lastModifiedBy>
  <cp:revision>2</cp:revision>
  <dcterms:created xsi:type="dcterms:W3CDTF">2016-01-14T23:19:00Z</dcterms:created>
  <dcterms:modified xsi:type="dcterms:W3CDTF">2016-01-14T23:19:00Z</dcterms:modified>
</cp:coreProperties>
</file>