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/>
        <w:drawing>
          <wp:inline distB="0" distT="0" distL="114300" distR="114300">
            <wp:extent cx="962025" cy="1282065"/>
            <wp:effectExtent b="0" l="0" r="0" t="0"/>
            <wp:docPr id="10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2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2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85"/>
        <w:tblGridChange w:id="0">
          <w:tblGrid>
            <w:gridCol w:w="10285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4">
            <w:pPr>
              <w:ind w:left="1" w:hanging="3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PROGRAMA OFICIAL DE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1" w:hanging="3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FORMACIÓN EN INGLES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left="0" w:hanging="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222"/>
        </w:tabs>
        <w:ind w:left="0" w:hanging="2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2"/>
        <w:tblGridChange w:id="0">
          <w:tblGrid>
            <w:gridCol w:w="10192"/>
          </w:tblGrid>
        </w:tblGridChange>
      </w:tblGrid>
      <w:tr>
        <w:trPr>
          <w:trHeight w:val="4822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pos="2001"/>
              </w:tabs>
              <w:spacing w:line="36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1985"/>
              </w:tabs>
              <w:spacing w:line="360" w:lineRule="auto"/>
              <w:ind w:left="1" w:hanging="3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Nombre del curso: Inglés “Beginner” (CEF A2)*.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(Carrera)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Sección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(N°)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1560"/>
                <w:tab w:val="left" w:pos="1985"/>
              </w:tabs>
              <w:spacing w:line="360" w:lineRule="auto"/>
              <w:ind w:left="1" w:hanging="3"/>
              <w:jc w:val="both"/>
              <w:rPr>
                <w:rFonts w:ascii="Calibri" w:cs="Calibri" w:eastAsia="Calibri" w:hAnsi="Calibri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Código</w:t>
              <w:tab/>
              <w:tab/>
              <w:t xml:space="preserve"> : ID00000604002-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tabs>
                <w:tab w:val="left" w:pos="1560"/>
                <w:tab w:val="left" w:pos="1985"/>
              </w:tabs>
              <w:spacing w:line="360" w:lineRule="auto"/>
              <w:ind w:left="1" w:hanging="3"/>
              <w:jc w:val="both"/>
              <w:rPr>
                <w:rFonts w:ascii="Calibri" w:cs="Calibri" w:eastAsia="Calibri" w:hAnsi="Calibri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Semestre</w:t>
              <w:tab/>
              <w:tab/>
              <w:t xml:space="preserve"> :  Segundo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 (modulo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1560"/>
                <w:tab w:val="left" w:pos="1985"/>
              </w:tabs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Año</w:t>
              <w:tab/>
              <w:tab/>
              <w:t xml:space="preserve"> :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1560"/>
                <w:tab w:val="left" w:pos="1985"/>
              </w:tabs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Número de créditos: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1560"/>
                <w:tab w:val="left" w:pos="1985"/>
              </w:tabs>
              <w:spacing w:line="360" w:lineRule="auto"/>
              <w:ind w:left="1" w:hanging="3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Horas de trabajo presenciales y no presenciales: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90 (48 presenciales y 42 no presenciales)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1560"/>
                <w:tab w:val="left" w:pos="1985"/>
              </w:tabs>
              <w:spacing w:line="360" w:lineRule="auto"/>
              <w:ind w:left="1" w:hanging="3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Nº Alumnos estimado: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(N°)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ENCARGADO/A DE CURSO: Prof.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(Name)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spacing w:line="36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Day 00:00 y Day 00:00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, Sede Norte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1"/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7"/>
        <w:gridCol w:w="4677"/>
        <w:gridCol w:w="2410"/>
        <w:tblGridChange w:id="0">
          <w:tblGrid>
            <w:gridCol w:w="3087"/>
            <w:gridCol w:w="4677"/>
            <w:gridCol w:w="2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0" w:val="nil"/>
            </w:tcBorders>
            <w:shd w:fill="e0e0e0" w:val="clear"/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DOCENTES PARTICIPANTES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0" w:val="nil"/>
            </w:tcBorders>
            <w:shd w:fill="e0e0e0" w:val="clea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24" w:val="single"/>
            </w:tcBorders>
            <w:shd w:fill="e0e0e0" w:val="clea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de horas directas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(Name)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Formación Común, Inglés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0"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* CEFL  (Common European Framework for Languages) ,  el nivel B1 corresponde al tercer nivel o pre-intermedio.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1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3"/>
        <w:tblGridChange w:id="0">
          <w:tblGrid>
            <w:gridCol w:w="10143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Propósito formativo: </w:t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curso de inglés Básico 2 (CEFL A2) se adscribe al compromiso formativo de la Facultad de Medicina de contribuir en la formación de profesionales con un sentido humanista, compromiso social y valoración de la diversidad. Este curso forma parte de la Formación Común y contribuye al desarrollo de autoestima y la capacidad creciente de asumir y tomar responsabilidad y decisiones, tanto en forma individual como en equipo. Adicionalmente, el curso contribuye a desarrollar las habilidades comunicativas en lengua inglesa (escritura, comprensión auditiva, lectora y oral, nivel A2), así como el trabajo colaborativo, pensamiento crítico y reflexivo en torno al aprendizaje de la lengua y la cultura extranjera. </w:t>
            </w:r>
          </w:p>
          <w:p w:rsidR="00000000" w:rsidDel="00000000" w:rsidP="00000000" w:rsidRDefault="00000000" w:rsidRPr="00000000" w14:paraId="00000025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4"/>
        <w:tblGridChange w:id="0">
          <w:tblGrid>
            <w:gridCol w:w="10154"/>
          </w:tblGrid>
        </w:tblGridChange>
      </w:tblGrid>
      <w:tr>
        <w:trPr>
          <w:trHeight w:val="1563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Competencia(s) del curso: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Comprende las ideas generales y específicas de textos escritos, conversaciones simples, e intercambios comunicativos que ocurren en el ámbito laboral, en la universidad y el hogar, así como la habilidad de extraer información general de textos orales y escritos relacionados con el área de la salud y del ámbito personal a nivel A2 del CEFL.</w:t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Establece y desarrolla comunicación simple en forma oral o escrita para entregar información personal, del ámbito de la salud y académico a nivel A2, demostrando empatía y capacidad de trabajo en equipo. Logra la búsqueda de material asociado al ámbito de la salud en Internet.</w:t>
            </w:r>
          </w:p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Realización esperada como resultado de aprendizaje del curso. </w:t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estudiante:</w:t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Reconocen y aplican vocabulario general y del área de la salud, los marcadores discursivos y las estructuras gramaticales en diferentes actividades comunicativas. Comprenden ideas generales y principales, junto a información específica simple de forma auditiva. Comprenden textos simples utilizando estrategias de lectura en temas generales y relativos a la salud. </w:t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medirá por medio de:</w:t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-2 controles en línea U-Test : 10% de la nota de presentación).</w:t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Junto a lo anterior, producen textos escritos simples equivalentes al nivel A2.Se medirá a través de:</w:t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 control integral equivalente al 20%</w:t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 video breve de su área y disciplina siguiendo el esquema del método científico y aplicando los marcadores discursivos pertinentes equivalente al 25%</w:t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- 1 prueba final escrita on line de 30%.</w:t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El promedio de las actividades de estudio autónomo expresado en tareas semanales (15%)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Requisitos de asistencia y reprobación: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requisito mínimo de asistencia para las clases teórico prácticas es 80%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El alumno(a) que falte sin la debida justificación a cualquier actividad evaluada, será calificado automáticamente con la nota mínima de la escala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(1,0)</w:t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(Art. 25).</w:t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nota mínima de aprobación es de 4,0, obtenida con una escala de 60% en todas las evaluaciones realizadas.</w:t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* El requisito de asistencia mínima para aprobar el curso se mantiene suspendido mientras se mantenga el sistema no presencial de clases.</w:t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4335"/>
        </w:tabs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65"/>
        <w:gridCol w:w="8009"/>
        <w:tblGridChange w:id="0">
          <w:tblGrid>
            <w:gridCol w:w="2165"/>
            <w:gridCol w:w="8009"/>
          </w:tblGrid>
        </w:tblGridChange>
      </w:tblGrid>
      <w:tr>
        <w:trPr>
          <w:trHeight w:val="3982" w:hRule="atLeast"/>
        </w:trPr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Resultados de aprendizaje esperados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estudiantes aplicarán el vocabulario general y del área de la salud, los marcadores discursivos y las estructuras gramaticales en diferentes actividades comunicativas auditivas, escritas y orales en clases, relativas al ámbito académico, de la salud  y  profesional en lengua inglesa a un nivel equivalente al A2 en el  CommonEuropean Framework ForLanguages (CEFL). </w:t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estudiantes realizarán actividades de comprensión lectora, desarrollando estrategias de lectura, pensamiento crítico y una actitud reflexiva frente a los contextos de salud  chilenos y extranjeros.</w:t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estudiantes realizarán  actividades de escritura progresiva equivalentes al nivel de inglés A2 en el  Common European Framework For Languages (CEFL). </w:t>
            </w:r>
          </w:p>
          <w:p w:rsidR="00000000" w:rsidDel="00000000" w:rsidP="00000000" w:rsidRDefault="00000000" w:rsidRPr="00000000" w14:paraId="0000004F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estudiantes sintetizarán información  de textos escritos y orales auténticos y la aplicarán a través de: cuestionarios, actividades auditivas, prueba final, etc.</w:t>
            </w:r>
          </w:p>
          <w:p w:rsidR="00000000" w:rsidDel="00000000" w:rsidP="00000000" w:rsidRDefault="00000000" w:rsidRPr="00000000" w14:paraId="00000051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Estrategias metodológicas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curso implementa un enfoque comunicativo, escrito y oral,  que involucra al estudiante en diversas actividades interactivas:</w:t>
            </w:r>
          </w:p>
          <w:p w:rsidR="00000000" w:rsidDel="00000000" w:rsidP="00000000" w:rsidRDefault="00000000" w:rsidRPr="00000000" w14:paraId="00000055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4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Juegos de roles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4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Juegos interactivos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4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Presentaciones Orales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4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Escritura progresiva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4"/>
              </w:num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Práctica auditiva de textos del ámbito de la salud</w:t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Procedimientos </w:t>
              <w:br w:type="textWrapping"/>
              <w:t xml:space="preserve">evaluativos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ind w:left="0" w:hanging="2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evaluará: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Assessments:</w:t>
            </w:r>
          </w:p>
          <w:tbl>
            <w:tblPr>
              <w:tblStyle w:val="Table8"/>
              <w:tblW w:w="85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80"/>
              <w:gridCol w:w="3880"/>
              <w:gridCol w:w="3300"/>
              <w:tblGridChange w:id="0">
                <w:tblGrid>
                  <w:gridCol w:w="1380"/>
                  <w:gridCol w:w="3880"/>
                  <w:gridCol w:w="3300"/>
                </w:tblGrid>
              </w:tblGridChange>
            </w:tblGrid>
            <w:tr>
              <w:tc>
                <w:tcPr>
                  <w:tcBorders>
                    <w:top w:color="000080" w:space="0" w:sz="6" w:val="single"/>
                    <w:left w:color="000080" w:space="0" w:sz="6" w:val="single"/>
                    <w:right w:color="000080" w:space="0" w:sz="6" w:val="single"/>
                  </w:tcBorders>
                  <w:shd w:fill="00008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0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TEST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80" w:space="0" w:sz="6" w:val="single"/>
                    <w:left w:color="000080" w:space="0" w:sz="6" w:val="single"/>
                    <w:right w:color="000080" w:space="0" w:sz="6" w:val="single"/>
                  </w:tcBorders>
                  <w:shd w:fill="00008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TYPE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80" w:space="0" w:sz="6" w:val="single"/>
                    <w:left w:color="000080" w:space="0" w:sz="6" w:val="single"/>
                    <w:right w:color="000080" w:space="0" w:sz="6" w:val="single"/>
                  </w:tcBorders>
                  <w:shd w:fill="00008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6">
                  <w:pPr>
                    <w:widowControl w:val="1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PERCENTAGE OF FINAL MARK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000080" w:space="0" w:sz="6" w:val="single"/>
                    <w:bottom w:color="000080" w:space="0" w:sz="6" w:val="single"/>
                    <w:right w:color="000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  <w:p w:rsidR="00000000" w:rsidDel="00000000" w:rsidP="00000000" w:rsidRDefault="00000000" w:rsidRPr="00000000" w14:paraId="00000069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</w:t>
                  </w:r>
                </w:p>
                <w:p w:rsidR="00000000" w:rsidDel="00000000" w:rsidP="00000000" w:rsidRDefault="00000000" w:rsidRPr="00000000" w14:paraId="0000006B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  <w:p w:rsidR="00000000" w:rsidDel="00000000" w:rsidP="00000000" w:rsidRDefault="00000000" w:rsidRPr="00000000" w14:paraId="0000006D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</w:t>
                  </w:r>
                </w:p>
                <w:p w:rsidR="00000000" w:rsidDel="00000000" w:rsidP="00000000" w:rsidRDefault="00000000" w:rsidRPr="00000000" w14:paraId="0000006F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</w:t>
                  </w:r>
                </w:p>
                <w:p w:rsidR="00000000" w:rsidDel="00000000" w:rsidP="00000000" w:rsidRDefault="00000000" w:rsidRPr="00000000" w14:paraId="00000071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2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</w:t>
                  </w:r>
                </w:p>
                <w:p w:rsidR="00000000" w:rsidDel="00000000" w:rsidP="00000000" w:rsidRDefault="00000000" w:rsidRPr="00000000" w14:paraId="00000073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</w:t>
                  </w:r>
                </w:p>
                <w:p w:rsidR="00000000" w:rsidDel="00000000" w:rsidP="00000000" w:rsidRDefault="00000000" w:rsidRPr="00000000" w14:paraId="00000075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80" w:space="0" w:sz="6" w:val="single"/>
                    <w:bottom w:color="000080" w:space="0" w:sz="6" w:val="single"/>
                    <w:right w:color="000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before="240" w:lineRule="auto"/>
                    <w:ind w:left="0" w:hanging="2"/>
                    <w:jc w:val="center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  <w:rtl w:val="0"/>
                    </w:rPr>
                    <w:t xml:space="preserve">Online quiz 1:                     </w:t>
                    <w:tab/>
                    <w:t xml:space="preserve">      </w:t>
                    <w:tab/>
                    <w:t xml:space="preserve">          </w:t>
                  </w:r>
                </w:p>
                <w:p w:rsidR="00000000" w:rsidDel="00000000" w:rsidP="00000000" w:rsidRDefault="00000000" w:rsidRPr="00000000" w14:paraId="00000078">
                  <w:pPr>
                    <w:spacing w:before="240" w:lineRule="auto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  <w:rtl w:val="0"/>
                    </w:rPr>
                    <w:t xml:space="preserve">Online quiz 2:                                 </w:t>
                    <w:tab/>
                    <w:t xml:space="preserve">         </w:t>
                  </w:r>
                </w:p>
                <w:p w:rsidR="00000000" w:rsidDel="00000000" w:rsidP="00000000" w:rsidRDefault="00000000" w:rsidRPr="00000000" w14:paraId="00000079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A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rtl w:val="0"/>
                    </w:rPr>
                    <w:t xml:space="preserve">Integrated quiz:                </w:t>
                  </w:r>
                </w:p>
                <w:p w:rsidR="00000000" w:rsidDel="00000000" w:rsidP="00000000" w:rsidRDefault="00000000" w:rsidRPr="00000000" w14:paraId="0000007B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C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rtl w:val="0"/>
                    </w:rPr>
                    <w:t xml:space="preserve">Video  presentation:                                                               </w:t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  <w:rtl w:val="0"/>
                    </w:rPr>
                    <w:t xml:space="preserve">                  </w:t>
                    <w:tab/>
                  </w:r>
                </w:p>
                <w:p w:rsidR="00000000" w:rsidDel="00000000" w:rsidP="00000000" w:rsidRDefault="00000000" w:rsidRPr="00000000" w14:paraId="0000007D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rtl w:val="0"/>
                    </w:rPr>
                    <w:t xml:space="preserve">Self-study </w:t>
                  </w:r>
                </w:p>
                <w:p w:rsidR="00000000" w:rsidDel="00000000" w:rsidP="00000000" w:rsidRDefault="00000000" w:rsidRPr="00000000" w14:paraId="0000007E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rtl w:val="0"/>
                    </w:rPr>
                    <w:t xml:space="preserve">Final test</w:t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  <w:highlight w:val="white"/>
                      <w:rtl w:val="0"/>
                    </w:rPr>
                    <w:t xml:space="preserve">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color w:val="222222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222222"/>
                      <w:sz w:val="24"/>
                      <w:szCs w:val="24"/>
                      <w:rtl w:val="0"/>
                    </w:rPr>
                    <w:t xml:space="preserve">EX 1 &amp; 2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80" w:space="0" w:sz="6" w:val="single"/>
                    <w:bottom w:color="000080" w:space="0" w:sz="6" w:val="single"/>
                    <w:right w:color="000080" w:space="0" w:sz="6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3">
                  <w:pPr>
                    <w:widowControl w:val="1"/>
                    <w:ind w:left="0" w:hanging="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4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5%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5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5%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20%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25%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15%</w:t>
                  </w:r>
                </w:p>
                <w:p w:rsidR="00000000" w:rsidDel="00000000" w:rsidP="00000000" w:rsidRDefault="00000000" w:rsidRPr="00000000" w14:paraId="0000008C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widowControl w:val="1"/>
                    <w:ind w:left="0" w:hanging="2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30%</w:t>
                  </w:r>
                </w:p>
              </w:tc>
            </w:tr>
          </w:tbl>
          <w:p w:rsidR="00000000" w:rsidDel="00000000" w:rsidP="00000000" w:rsidRDefault="00000000" w:rsidRPr="00000000" w14:paraId="000000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Tomado del Art. 29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: </w:t>
            </w:r>
          </w:p>
          <w:p w:rsidR="00000000" w:rsidDel="00000000" w:rsidP="00000000" w:rsidRDefault="00000000" w:rsidRPr="00000000" w14:paraId="00000091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(…) la prueba final es de carácter obligatorio y reprobatorio. Si la nota es igual o mayor a 4.0 el estudiante tendrá derecho a dos oportunidades de evaluación final. </w:t>
            </w:r>
          </w:p>
          <w:p w:rsidR="00000000" w:rsidDel="00000000" w:rsidP="00000000" w:rsidRDefault="00000000" w:rsidRPr="00000000" w14:paraId="00000092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      Si la nota de presentación a evaluación final está entre 3.50 y 3.94 (ambas incluidas), el estudiante sólo tendrá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oportunidad de evaluación final. </w:t>
            </w:r>
          </w:p>
          <w:p w:rsidR="00000000" w:rsidDel="00000000" w:rsidP="00000000" w:rsidRDefault="00000000" w:rsidRPr="00000000" w14:paraId="00000093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      Si la nota de presentación es igual o inferior a 3.44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el estudiante pierde el derecho a evaluación final, reprobando el curso. En este caso la calificación final del curso será igual a la nota de presentación. </w:t>
            </w:r>
          </w:p>
          <w:p w:rsidR="00000000" w:rsidDel="00000000" w:rsidP="00000000" w:rsidRDefault="00000000" w:rsidRPr="00000000" w14:paraId="00000094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5">
            <w:pPr>
              <w:widowControl w:val="1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Tomado del art. 30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 (Respecto del) examen, se obtendrá del siguiente modo: nota de presentación al examen 70% y nota de examen 30%.</w:t>
            </w:r>
          </w:p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639.0" w:type="dxa"/>
              <w:jc w:val="left"/>
              <w:tblLayout w:type="fixed"/>
              <w:tblLook w:val="0400"/>
            </w:tblPr>
            <w:tblGrid>
              <w:gridCol w:w="7639"/>
              <w:tblGridChange w:id="0">
                <w:tblGrid>
                  <w:gridCol w:w="7639"/>
                </w:tblGrid>
              </w:tblGridChange>
            </w:tblGrid>
            <w:t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8">
                  <w:pPr>
                    <w:widowControl w:val="1"/>
                    <w:spacing w:line="240" w:lineRule="auto"/>
                    <w:ind w:left="0" w:hanging="2"/>
                    <w:jc w:val="both"/>
                    <w:rPr>
                      <w:color w:val="ff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color w:val="ff0000"/>
                      <w:sz w:val="24"/>
                      <w:szCs w:val="24"/>
                      <w:rtl w:val="0"/>
                    </w:rPr>
                    <w:t xml:space="preserve">NOTA: Debido al complicado contexto relacionado con la pandemia mundial, y en concordancia con los acuerdos llevados a cabo entre la Dirección de Pregrado y el Centro de Estudiantes de la Salud, se ha decidido que la nota de eximición en los cursos impartidos por el Programa de Inglés sea de 4,95 y que el examen final pierda su condición reprobatoria.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Textos de Estudio referenciales</w:t>
            </w:r>
          </w:p>
          <w:p w:rsidR="00000000" w:rsidDel="00000000" w:rsidP="00000000" w:rsidRDefault="00000000" w:rsidRPr="00000000" w14:paraId="0000009C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*Dellar, H. &amp;Walkley, A.  (2006). Innovations Pre-Intermediate Part 2 (Units 11 to 20). Thomson Learning.</w:t>
            </w:r>
          </w:p>
          <w:p w:rsidR="00000000" w:rsidDel="00000000" w:rsidP="00000000" w:rsidRDefault="00000000" w:rsidRPr="00000000" w14:paraId="0000009D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*McCarter, S. (2008). Medicine 1. Oxford University Press.</w:t>
            </w:r>
          </w:p>
          <w:p w:rsidR="00000000" w:rsidDel="00000000" w:rsidP="00000000" w:rsidRDefault="00000000" w:rsidRPr="00000000" w14:paraId="0000009E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*Glendinning, E. &amp; Howard, R. (2007).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Professional English in Use. Medicine.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Cambridge University Press.</w:t>
            </w:r>
          </w:p>
          <w:p w:rsidR="00000000" w:rsidDel="00000000" w:rsidP="00000000" w:rsidRDefault="00000000" w:rsidRPr="00000000" w14:paraId="0000009F">
            <w:pPr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2. Sitios web</w:t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4"/>
                  <w:szCs w:val="24"/>
                  <w:u w:val="single"/>
                  <w:rtl w:val="0"/>
                </w:rPr>
                <w:t xml:space="preserve">www.plataforma.uchile.cl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http://www.bbc.co.uk/health/treatments/healthy_living/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http://www.beyondbasicsphysicaltherapy.com/childbearing.shtml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http://kidshealth.org/parent/pregnancy_newborn/pregnancy/midwives.html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http://letras.terra.com.br/simply-red/36327/#autoplay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http://www.englishmedialab.com/beginnervideos.html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http://esl.about.com/od/englishformedicalpurpose/a/nursing_vocabulary.htm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http://www.saberingles.com.ar/lists/health.html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http://esl.about.com/od/engilshvocabulary/ig/Visual-Dictionary---Work/Nursing.htm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http://www.theenglishvocabulary.com/vocabulary.php?lang=3&amp;topic=115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http://www.englishclub.com/english-for-work/medical-vocabulary.htm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http://www.livingspanish.com/doctor-situation-guide.htm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http://www.multimedia-english.com/contenido/ficha/hospital-vocabulary/1036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http://www.tefl.net/esl-lesson-plans/esl-worksheets-tp.htm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www.multimedia-english.com/contenido/ficha/thats-english-at-the-doctors-3/2295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www.esllab.com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480" w:lineRule="auto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http://text-to-speech.imtranslator.net/speech.asp?url=WM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3. Artículos disciplinares y científicos de revistas indexadas</w:t>
            </w:r>
          </w:p>
          <w:p w:rsidR="00000000" w:rsidDel="00000000" w:rsidP="00000000" w:rsidRDefault="00000000" w:rsidRPr="00000000" w14:paraId="000000B7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4. Guías y material de estudio</w:t>
            </w:r>
          </w:p>
          <w:p w:rsidR="00000000" w:rsidDel="00000000" w:rsidP="00000000" w:rsidRDefault="00000000" w:rsidRPr="00000000" w14:paraId="000000B9">
            <w:pPr>
              <w:ind w:left="0" w:hanging="2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 Salas de clases</w:t>
            </w:r>
          </w:p>
          <w:p w:rsidR="00000000" w:rsidDel="00000000" w:rsidP="00000000" w:rsidRDefault="00000000" w:rsidRPr="00000000" w14:paraId="000000B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Docentes </w:t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Equipos multimedia.</w:t>
            </w:r>
          </w:p>
        </w:tc>
      </w:tr>
    </w:tbl>
    <w:p w:rsidR="00000000" w:rsidDel="00000000" w:rsidP="00000000" w:rsidRDefault="00000000" w:rsidRPr="00000000" w14:paraId="000000BF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/>
        <w:drawing>
          <wp:inline distB="0" distT="0" distL="114300" distR="114300">
            <wp:extent cx="962025" cy="1282065"/>
            <wp:effectExtent b="0" l="0" r="0" t="0"/>
            <wp:docPr id="10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2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101600</wp:posOffset>
                </wp:positionV>
                <wp:extent cx="6182995" cy="309880"/>
                <wp:effectExtent b="0" l="0" r="0" t="0"/>
                <wp:wrapSquare wrapText="bothSides" distB="0" distT="0" distL="114300" distR="114300"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8790" y="3639348"/>
                          <a:ext cx="61544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PLAN DE CLASES / SYLLABUS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101600</wp:posOffset>
                </wp:positionV>
                <wp:extent cx="6182995" cy="309880"/>
                <wp:effectExtent b="0" l="0" r="0" t="0"/>
                <wp:wrapSquare wrapText="bothSides" distB="0" distT="0" distL="114300" distR="11430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995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ind w:left="0" w:hanging="2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hanging="2"/>
        <w:jc w:val="center"/>
        <w:rPr>
          <w:rFonts w:ascii="Calibri" w:cs="Calibri" w:eastAsia="Calibri" w:hAnsi="Calibri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2" w:hanging="4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MODULAR 2 DE NOV AL 8 DE ENERO</w:t>
      </w:r>
    </w:p>
    <w:tbl>
      <w:tblPr>
        <w:tblStyle w:val="Table10"/>
        <w:tblW w:w="1158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5"/>
        <w:gridCol w:w="975"/>
        <w:gridCol w:w="8730"/>
        <w:tblGridChange w:id="0">
          <w:tblGrid>
            <w:gridCol w:w="1875"/>
            <w:gridCol w:w="975"/>
            <w:gridCol w:w="8730"/>
          </w:tblGrid>
        </w:tblGridChange>
      </w:tblGrid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UNIVERSIDAD DE CHILE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ENGLISH PROGRAMME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FACULTY OF MEDICINE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widowControl w:val="1"/>
              <w:ind w:left="0" w:hanging="2"/>
              <w:rPr>
                <w:rFonts w:ascii="Arial" w:cs="Arial" w:eastAsia="Arial" w:hAnsi="Arial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BEGINNER–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Día 00:00 y Día 00:00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TABLE OF CONTENTS: 2019 – 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TERM.     Prof.: 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1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1"/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1"/>
              <w:ind w:left="0" w:hanging="2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D8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D9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WEEK/LESSON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DA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 2nd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DC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 Introduction: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Overview, Methodology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English program presentation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Protocolo de evaluaciones por videoconferencia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E2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Body parts, symptoms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5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Functions of the body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Health and illnesses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Most common illnesses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8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(Deadline: November 8th, 23:59)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rtl w:val="0"/>
              </w:rPr>
              <w:t xml:space="preserve">Announce the online quiz 1 will take place the following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EA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 9th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Adverbs of frequency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0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Present Simple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0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Present Simple, question making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F0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(deadline: November 15th, 23:59)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Online Quiz 1 (5%) (deadline: November 15th, 23:59)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 16th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F5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 Simple versus Present Continuous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Signs and symptoms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FA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3 (deadline: November 22nd, 23:59)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rtl w:val="0"/>
              </w:rPr>
              <w:t xml:space="preserve">Announce the Integrated quiz (20%) will take place the following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FD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 23rd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100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Past simple regular verbs pronunciation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9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Past Simple versus past continuous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02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numPr>
                <w:ilvl w:val="0"/>
                <w:numId w:val="6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The past Simple (deadline: November 29th, 23:59)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rtl w:val="0"/>
              </w:rPr>
              <w:t xml:space="preserve">Announce the online quiz 2 will take place the following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Integrated quiz (20%) (Deadline: FRIDAY, November 27th, 23:59)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November 30th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08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1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Present Perfect video introduction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1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Present Perfect tense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1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Injury-related vocabulary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0E">
            <w:pPr>
              <w:widowControl w:val="1"/>
              <w:spacing w:line="276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Additional fun activities to practice grammar and vocabulary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The present Perfect tense (deadline: December 6th, 23:59)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Online Quiz 2 (5%)(Deadline: December 6th, 23:59)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12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 7th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6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Review of verb tenses in Academic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6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rtl w:val="0"/>
              </w:rPr>
              <w:t xml:space="preserve">Give instructions for the ORAL PRESENTATION and Remind students the oral presentation is to be sent the following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17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Self study assessment: Homework General review (Deadline: December 13th, 23:59)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 14th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1B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numPr>
                <w:ilvl w:val="0"/>
                <w:numId w:val="18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Oral presentation preparation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1E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ORAL PRESENTATION (25%) (Deadline: December 20th, 23:59)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ff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rtl w:val="0"/>
              </w:rPr>
              <w:t xml:space="preserve">Announce the final evaluation will take place the following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21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December 21st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ORAL PRESENTATION FEEDBACK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24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FINAL EVALUATION (30%) (Deadline: December 23rd, 23:59)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76" w:lineRule="auto"/>
              <w:ind w:left="0" w:hanging="2"/>
              <w:rPr>
                <w:rFonts w:ascii="Arial" w:cs="Arial" w:eastAsia="Arial" w:hAnsi="Arial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January 4th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29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1"/>
              <w:numPr>
                <w:ilvl w:val="0"/>
                <w:numId w:val="17"/>
              </w:numPr>
              <w:spacing w:line="276" w:lineRule="auto"/>
              <w:ind w:left="720" w:hanging="360"/>
              <w:rPr>
                <w:rFonts w:ascii="Arial" w:cs="Arial" w:eastAsia="Arial" w:hAnsi="Arial"/>
                <w:b w:val="1"/>
                <w:color w:val="ff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EXAM (Date to be agreed, not after Friday 8th)</w:t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2C">
            <w:pPr>
              <w:widowControl w:val="1"/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1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feedback</w:t>
            </w:r>
          </w:p>
        </w:tc>
      </w:tr>
    </w:tbl>
    <w:p w:rsidR="00000000" w:rsidDel="00000000" w:rsidP="00000000" w:rsidRDefault="00000000" w:rsidRPr="00000000" w14:paraId="0000012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1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Assessments:</w:t>
      </w:r>
    </w:p>
    <w:tbl>
      <w:tblPr>
        <w:tblStyle w:val="Table11"/>
        <w:tblW w:w="8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3880"/>
        <w:gridCol w:w="3300"/>
        <w:tblGridChange w:id="0">
          <w:tblGrid>
            <w:gridCol w:w="1380"/>
            <w:gridCol w:w="3880"/>
            <w:gridCol w:w="3300"/>
          </w:tblGrid>
        </w:tblGridChange>
      </w:tblGrid>
      <w:tr>
        <w:tc>
          <w:tcPr>
            <w:tcBorders>
              <w:top w:color="000080" w:space="0" w:sz="6" w:val="single"/>
              <w:left w:color="000080" w:space="0" w:sz="6" w:val="single"/>
              <w:right w:color="000080" w:space="0" w:sz="6" w:val="single"/>
            </w:tcBorders>
            <w:shd w:fill="000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right w:color="000080" w:space="0" w:sz="6" w:val="single"/>
            </w:tcBorders>
            <w:shd w:fill="000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6" w:val="single"/>
              <w:left w:color="000080" w:space="0" w:sz="6" w:val="single"/>
              <w:right w:color="000080" w:space="0" w:sz="6" w:val="single"/>
            </w:tcBorders>
            <w:shd w:fill="000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1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PERCENTAGE OF FINAL MARK 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6" w:val="single"/>
              <w:bottom w:color="000080" w:space="0" w:sz="6" w:val="single"/>
              <w:right w:color="00008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9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B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D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3F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1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43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45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6" w:val="single"/>
              <w:bottom w:color="000080" w:space="0" w:sz="6" w:val="single"/>
              <w:right w:color="00008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before="240" w:lineRule="auto"/>
              <w:ind w:left="0" w:hanging="2"/>
              <w:jc w:val="center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Online quiz 1:                     </w:t>
              <w:tab/>
              <w:t xml:space="preserve">      </w:t>
              <w:tab/>
              <w:t xml:space="preserve">          </w:t>
            </w:r>
          </w:p>
          <w:p w:rsidR="00000000" w:rsidDel="00000000" w:rsidP="00000000" w:rsidRDefault="00000000" w:rsidRPr="00000000" w14:paraId="00000148">
            <w:pPr>
              <w:spacing w:before="240" w:lineRule="auto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Online quiz 2:                                 </w:t>
              <w:tab/>
              <w:t xml:space="preserve">         </w:t>
            </w:r>
          </w:p>
          <w:p w:rsidR="00000000" w:rsidDel="00000000" w:rsidP="00000000" w:rsidRDefault="00000000" w:rsidRPr="00000000" w14:paraId="00000149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Integrated quiz:                </w:t>
            </w:r>
          </w:p>
          <w:p w:rsidR="00000000" w:rsidDel="00000000" w:rsidP="00000000" w:rsidRDefault="00000000" w:rsidRPr="00000000" w14:paraId="0000014B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Video  presentation: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                  </w:t>
              <w:tab/>
            </w:r>
          </w:p>
          <w:p w:rsidR="00000000" w:rsidDel="00000000" w:rsidP="00000000" w:rsidRDefault="00000000" w:rsidRPr="00000000" w14:paraId="0000014D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Self-study </w:t>
            </w:r>
          </w:p>
          <w:p w:rsidR="00000000" w:rsidDel="00000000" w:rsidP="00000000" w:rsidRDefault="00000000" w:rsidRPr="00000000" w14:paraId="0000014E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ind w:left="0" w:hanging="2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Final test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6" w:val="single"/>
              <w:bottom w:color="000080" w:space="0" w:sz="6" w:val="single"/>
              <w:right w:color="00008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widowControl w:val="1"/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15%</w:t>
            </w:r>
          </w:p>
          <w:p w:rsidR="00000000" w:rsidDel="00000000" w:rsidP="00000000" w:rsidRDefault="00000000" w:rsidRPr="00000000" w14:paraId="0000015D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15F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5840" w:w="12240" w:orient="portrait"/>
      <w:pgMar w:bottom="0" w:top="0" w:left="1418" w:right="902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tabs>
        <w:tab w:val="center" w:pos="4961"/>
        <w:tab w:val="right" w:pos="9922"/>
      </w:tabs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tabs>
        <w:tab w:val="center" w:pos="4418"/>
        <w:tab w:val="right" w:pos="8837"/>
      </w:tabs>
      <w:ind w:left="0" w:hanging="2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1">
    <w:pPr>
      <w:tabs>
        <w:tab w:val="center" w:pos="4418"/>
        <w:tab w:val="right" w:pos="8837"/>
      </w:tabs>
      <w:ind w:left="0" w:right="360" w:hanging="2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tabs>
        <w:tab w:val="center" w:pos="4418"/>
        <w:tab w:val="right" w:pos="8837"/>
      </w:tabs>
      <w:ind w:left="0" w:right="36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overflowPunct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kern w:val="28"/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widowControl w:val="1"/>
      <w:overflowPunct w:val="1"/>
      <w:adjustRightInd w:val="1"/>
    </w:pPr>
    <w:rPr>
      <w:b w:val="1"/>
      <w:bCs w:val="1"/>
      <w:kern w:val="0"/>
      <w:sz w:val="24"/>
      <w:szCs w:val="24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eNormal1"/>
    <w:rPr>
      <w:lang w:eastAsia="es-ES"/>
    </w:rPr>
    <w:tblPr>
      <w:tblInd w:w="0.0" w:type="nil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kern w:val="28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ListParagraph1" w:customStyle="1">
    <w:name w:val="List Paragraph1"/>
    <w:basedOn w:val="Normal"/>
    <w:pPr>
      <w:ind w:left="720"/>
    </w:pPr>
  </w:style>
  <w:style w:type="character" w:styleId="Heading1Char" w:customStyle="1">
    <w:name w:val="Heading 1 Char"/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CL" w:val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CommentReference" w:customStyle="1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 w:customStyle="1">
    <w:name w:val="Comment Text"/>
    <w:basedOn w:val="Normal"/>
  </w:style>
  <w:style w:type="character" w:styleId="CommentTextChar" w:customStyle="1">
    <w:name w:val="Comment Text Char"/>
    <w:rPr>
      <w:rFonts w:ascii="Times New Roman" w:hAnsi="Times New Roman"/>
      <w:w w:val="100"/>
      <w:kern w:val="28"/>
      <w:position w:val="-1"/>
      <w:effect w:val="none"/>
      <w:vertAlign w:val="baseline"/>
      <w:cs w:val="0"/>
      <w:em w:val="none"/>
      <w:lang w:eastAsia="es-CL"/>
    </w:rPr>
  </w:style>
  <w:style w:type="paragraph" w:styleId="CommentSubject" w:customStyle="1">
    <w:name w:val="Comment Subject"/>
    <w:basedOn w:val="CommentText"/>
    <w:next w:val="CommentText"/>
    <w:rPr>
      <w:b w:val="1"/>
      <w:bCs w:val="1"/>
    </w:rPr>
  </w:style>
  <w:style w:type="character" w:styleId="CommentSubjectChar" w:customStyle="1">
    <w:name w:val="Comment Subject Char"/>
    <w:rPr>
      <w:rFonts w:ascii="Times New Roman" w:hAnsi="Times New Roman"/>
      <w:b w:val="1"/>
      <w:bCs w:val="1"/>
      <w:w w:val="100"/>
      <w:kern w:val="28"/>
      <w:position w:val="-1"/>
      <w:effect w:val="none"/>
      <w:vertAlign w:val="baseline"/>
      <w:cs w:val="0"/>
      <w:em w:val="none"/>
      <w:lang w:eastAsia="es-CL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yiv2715765978msobodytext" w:customStyle="1">
    <w:name w:val="yiv2715765978msobodytext"/>
    <w:basedOn w:val="Normal"/>
    <w:pPr>
      <w:widowControl w:val="1"/>
      <w:overflowPunct w:val="1"/>
      <w:adjustRightInd w:val="1"/>
      <w:spacing w:after="100" w:afterAutospacing="1" w:before="100" w:beforeAutospacing="1"/>
    </w:pPr>
    <w:rPr>
      <w:kern w:val="0"/>
      <w:sz w:val="24"/>
      <w:szCs w:val="24"/>
      <w:lang w:eastAsia="es-ES"/>
    </w:rPr>
  </w:style>
  <w:style w:type="character" w:styleId="apple-converted-space" w:customStyle="1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yiv2715765978msonormal" w:customStyle="1">
    <w:name w:val="yiv2715765978msonormal"/>
    <w:basedOn w:val="Normal"/>
    <w:pPr>
      <w:widowControl w:val="1"/>
      <w:overflowPunct w:val="1"/>
      <w:adjustRightInd w:val="1"/>
      <w:spacing w:after="100" w:afterAutospacing="1" w:before="100" w:beforeAutospacing="1"/>
    </w:pPr>
    <w:rPr>
      <w:kern w:val="0"/>
      <w:sz w:val="24"/>
      <w:szCs w:val="24"/>
      <w:lang w:eastAsia="es-ES"/>
    </w:rPr>
  </w:style>
  <w:style w:type="character" w:styleId="Mencinsinresolver">
    <w:name w:val="Unresolved Mention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220.0" w:type="dxa"/>
        <w:right w:w="22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220.0" w:type="dxa"/>
        <w:right w:w="22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80.0" w:type="dxa"/>
        <w:right w:w="18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220.0" w:type="dxa"/>
        <w:right w:w="22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220.0" w:type="dxa"/>
        <w:right w:w="22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220.0" w:type="dxa"/>
        <w:right w:w="22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80.0" w:type="dxa"/>
        <w:right w:w="18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multimedia-english.com/contenido/ficha/hospital-vocabulary/1036" TargetMode="External"/><Relationship Id="rId22" Type="http://schemas.openxmlformats.org/officeDocument/2006/relationships/hyperlink" Target="http://www.multimedia-english.com/contenido/ficha/thats-english-at-the-doctors-3/2295" TargetMode="External"/><Relationship Id="rId21" Type="http://schemas.openxmlformats.org/officeDocument/2006/relationships/hyperlink" Target="http://www.tefl.net/esl-lesson-plans/esl-worksheets-tp.htm" TargetMode="External"/><Relationship Id="rId24" Type="http://schemas.openxmlformats.org/officeDocument/2006/relationships/hyperlink" Target="http://text-to-speech.imtranslator.net/speech.asp?url=WM" TargetMode="External"/><Relationship Id="rId23" Type="http://schemas.openxmlformats.org/officeDocument/2006/relationships/hyperlink" Target="http://www.esllab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bc.co.uk/health/treatments/healthy_living/" TargetMode="External"/><Relationship Id="rId26" Type="http://schemas.openxmlformats.org/officeDocument/2006/relationships/header" Target="header1.xml"/><Relationship Id="rId25" Type="http://schemas.openxmlformats.org/officeDocument/2006/relationships/image" Target="media/image2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plataforma.uchile.cl" TargetMode="External"/><Relationship Id="rId11" Type="http://schemas.openxmlformats.org/officeDocument/2006/relationships/hyperlink" Target="http://kidshealth.org/parent/pregnancy_newborn/pregnancy/midwives.html" TargetMode="External"/><Relationship Id="rId10" Type="http://schemas.openxmlformats.org/officeDocument/2006/relationships/hyperlink" Target="http://www.beyondbasicsphysicaltherapy.com/childbearing.shtml" TargetMode="External"/><Relationship Id="rId13" Type="http://schemas.openxmlformats.org/officeDocument/2006/relationships/hyperlink" Target="http://www.englishmedialab.com/beginnervideos.html" TargetMode="External"/><Relationship Id="rId12" Type="http://schemas.openxmlformats.org/officeDocument/2006/relationships/hyperlink" Target="http://letras.terra.com.br/simply-red/36327/#autoplay" TargetMode="External"/><Relationship Id="rId15" Type="http://schemas.openxmlformats.org/officeDocument/2006/relationships/hyperlink" Target="http://www.saberingles.com.ar/lists/health.html" TargetMode="External"/><Relationship Id="rId14" Type="http://schemas.openxmlformats.org/officeDocument/2006/relationships/hyperlink" Target="http://esl.about.com/od/englishformedicalpurpose/a/nursing_vocabulary.htm" TargetMode="External"/><Relationship Id="rId17" Type="http://schemas.openxmlformats.org/officeDocument/2006/relationships/hyperlink" Target="http://www.theenglishvocabulary.com/vocabulary.php?lang=3&amp;topic=115" TargetMode="External"/><Relationship Id="rId16" Type="http://schemas.openxmlformats.org/officeDocument/2006/relationships/hyperlink" Target="http://esl.about.com/od/engilshvocabulary/ig/Visual-Dictionary---Work/Nursing.htm" TargetMode="External"/><Relationship Id="rId19" Type="http://schemas.openxmlformats.org/officeDocument/2006/relationships/hyperlink" Target="http://www.livingspanish.com/doctor-situation-guide.htm" TargetMode="External"/><Relationship Id="rId18" Type="http://schemas.openxmlformats.org/officeDocument/2006/relationships/hyperlink" Target="http://www.englishclub.com/english-for-work/medical-vocabula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o7QSLEV/gM1iBdVC7JjL27Plg==">AMUW2mW7o/sVait702wAFKsaD7wzmCIkyOVgvb0wZfYdtcRoXmFAmPgiVn84le4sku74meRXkHPPCGI/QjfvMVTwZKAdJcOu7rXFwG38d36v1e9aiqn4OiGJ0vo665WBZHVRFrVgzSSs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2020-11-03T12:47:00Z</dcterms:created>
  <dc:creator>Ingles 03</dc:creator>
</cp:coreProperties>
</file>