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6722A" w14:textId="77777777" w:rsidR="00EF22D4" w:rsidRPr="002F6069" w:rsidRDefault="00EF22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color w:val="000000"/>
          <w:sz w:val="22"/>
          <w:szCs w:val="22"/>
        </w:rPr>
      </w:pPr>
    </w:p>
    <w:tbl>
      <w:tblPr>
        <w:tblStyle w:val="a"/>
        <w:tblW w:w="875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202"/>
      </w:tblGrid>
      <w:tr w:rsidR="00EF22D4" w:rsidRPr="002F6069" w14:paraId="62A29728" w14:textId="77777777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3CD679B9" w14:textId="77777777" w:rsidR="00EF22D4" w:rsidRPr="002F6069" w:rsidRDefault="002F60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2F6069">
              <w:rPr>
                <w:rFonts w:eastAsia="Calibri"/>
                <w:b/>
                <w:sz w:val="24"/>
                <w:szCs w:val="24"/>
              </w:rPr>
              <w:t>Nombre del curso</w:t>
            </w:r>
          </w:p>
        </w:tc>
        <w:tc>
          <w:tcPr>
            <w:tcW w:w="6202" w:type="dxa"/>
            <w:vAlign w:val="center"/>
          </w:tcPr>
          <w:p w14:paraId="0B0890AB" w14:textId="77777777" w:rsidR="00EF22D4" w:rsidRPr="002F6069" w:rsidRDefault="002F6069">
            <w:pPr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Seminario de Grado II</w:t>
            </w:r>
          </w:p>
        </w:tc>
      </w:tr>
      <w:tr w:rsidR="00EF22D4" w:rsidRPr="002F6069" w14:paraId="32C8F3EE" w14:textId="77777777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128DCBBA" w14:textId="77777777" w:rsidR="00EF22D4" w:rsidRPr="002F6069" w:rsidRDefault="002F60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2F6069">
              <w:rPr>
                <w:rFonts w:eastAsia="Calibri"/>
                <w:b/>
                <w:sz w:val="24"/>
                <w:szCs w:val="24"/>
              </w:rPr>
              <w:t>Descripción del curso</w:t>
            </w:r>
          </w:p>
        </w:tc>
        <w:tc>
          <w:tcPr>
            <w:tcW w:w="6202" w:type="dxa"/>
            <w:vAlign w:val="center"/>
          </w:tcPr>
          <w:p w14:paraId="64CD4B27" w14:textId="77777777" w:rsidR="00EF22D4" w:rsidRPr="002F6069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El curso pretende apoyar la finalización de la Obra conducente al grado de Magister en Cine Documental. Para ello los estudiantes realizan una tesis consistente en una película documental. </w:t>
            </w:r>
          </w:p>
        </w:tc>
      </w:tr>
      <w:tr w:rsidR="00EF22D4" w:rsidRPr="002F6069" w14:paraId="73777776" w14:textId="77777777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6242C65A" w14:textId="77777777" w:rsidR="00EF22D4" w:rsidRPr="002F6069" w:rsidRDefault="002F60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2F6069">
              <w:rPr>
                <w:rFonts w:eastAsia="Calibri"/>
                <w:b/>
                <w:sz w:val="24"/>
                <w:szCs w:val="24"/>
              </w:rPr>
              <w:t>Objetivos</w:t>
            </w:r>
          </w:p>
        </w:tc>
        <w:tc>
          <w:tcPr>
            <w:tcW w:w="6202" w:type="dxa"/>
            <w:vAlign w:val="center"/>
          </w:tcPr>
          <w:p w14:paraId="36C0632E" w14:textId="0437FB25" w:rsidR="00EF22D4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1. Enfrentar al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estudiant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@ con el proceso de filmación </w:t>
            </w:r>
            <w:r w:rsidRPr="002F6069">
              <w:rPr>
                <w:rFonts w:eastAsia="Calibri"/>
                <w:sz w:val="24"/>
                <w:szCs w:val="24"/>
              </w:rPr>
              <w:t>de una obra    documental.</w:t>
            </w:r>
          </w:p>
          <w:p w14:paraId="72AA672C" w14:textId="77777777" w:rsidR="002F6069" w:rsidRPr="002F6069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0DA9B88D" w14:textId="0E44EDB0" w:rsidR="00EF22D4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2. Generar habilidades para que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l@s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estudiant@s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resuelvan creativa y eficazmente las tareas de montaje de la obra documental.</w:t>
            </w:r>
          </w:p>
          <w:p w14:paraId="055F1F3B" w14:textId="77777777" w:rsidR="002F6069" w:rsidRPr="002F6069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319AEB9" w14:textId="2D3DC6F1" w:rsidR="00EF22D4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3. Encausar a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l@s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estudiant@s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a la finalización de la obra, tanto en los aspectos técnico-estéticos de la imagen como del sonido, </w:t>
            </w:r>
          </w:p>
          <w:p w14:paraId="3605E158" w14:textId="77777777" w:rsidR="002F6069" w:rsidRPr="002F6069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</w:p>
          <w:p w14:paraId="4B50BD35" w14:textId="77777777" w:rsidR="00EF22D4" w:rsidRPr="002F6069" w:rsidRDefault="002F6069">
            <w:pPr>
              <w:jc w:val="both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4. Orientar a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l@s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estudiant@s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en su estrategia de circulación de la obra.</w:t>
            </w:r>
          </w:p>
        </w:tc>
      </w:tr>
      <w:tr w:rsidR="00EF22D4" w:rsidRPr="002F6069" w14:paraId="3AF67506" w14:textId="77777777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492EE892" w14:textId="77777777" w:rsidR="00EF22D4" w:rsidRPr="002F6069" w:rsidRDefault="002F60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2F6069">
              <w:rPr>
                <w:rFonts w:eastAsia="Calibri"/>
                <w:b/>
                <w:sz w:val="24"/>
                <w:szCs w:val="24"/>
              </w:rPr>
              <w:t>Contenidos</w:t>
            </w:r>
          </w:p>
        </w:tc>
        <w:tc>
          <w:tcPr>
            <w:tcW w:w="6202" w:type="dxa"/>
            <w:vAlign w:val="center"/>
          </w:tcPr>
          <w:p w14:paraId="279D08E0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Módulos:</w:t>
            </w:r>
          </w:p>
          <w:p w14:paraId="4E6A3910" w14:textId="77777777" w:rsidR="00EF22D4" w:rsidRPr="002F6069" w:rsidRDefault="00EF22D4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</w:p>
          <w:p w14:paraId="5C1C03C9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I El autor-protagonista</w:t>
            </w:r>
          </w:p>
          <w:p w14:paraId="39CA2237" w14:textId="77777777" w:rsidR="00EF22D4" w:rsidRPr="002F6069" w:rsidRDefault="002F606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rPr>
                <w:rFonts w:eastAsia="Calibri"/>
                <w:color w:val="000000"/>
                <w:sz w:val="24"/>
                <w:szCs w:val="24"/>
              </w:rPr>
            </w:pPr>
            <w:r w:rsidRPr="002F6069">
              <w:rPr>
                <w:rFonts w:eastAsia="Calibri"/>
                <w:color w:val="000000"/>
                <w:sz w:val="24"/>
                <w:szCs w:val="24"/>
              </w:rPr>
              <w:t>Posib</w:t>
            </w:r>
            <w:r w:rsidRPr="002F6069">
              <w:rPr>
                <w:rFonts w:eastAsia="Calibri"/>
                <w:color w:val="000000"/>
                <w:sz w:val="24"/>
                <w:szCs w:val="24"/>
              </w:rPr>
              <w:t>ilidades del realizador como parte del relato.</w:t>
            </w:r>
          </w:p>
          <w:p w14:paraId="1A8F7CE9" w14:textId="77777777" w:rsidR="00EF22D4" w:rsidRPr="002F6069" w:rsidRDefault="00EF2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535"/>
              <w:rPr>
                <w:rFonts w:eastAsia="Calibri"/>
                <w:color w:val="000000"/>
                <w:sz w:val="24"/>
                <w:szCs w:val="24"/>
              </w:rPr>
            </w:pPr>
          </w:p>
          <w:p w14:paraId="0DB7C3D3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II. La filmación como comprobación de las hipótesis del desarrollo</w:t>
            </w:r>
          </w:p>
          <w:p w14:paraId="5DE02C93" w14:textId="77777777" w:rsidR="00EF22D4" w:rsidRPr="002F6069" w:rsidRDefault="00EF22D4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</w:p>
          <w:p w14:paraId="7C1AE2B5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-  Ductilidad de dispositivo y estrategias de filmación</w:t>
            </w:r>
          </w:p>
          <w:p w14:paraId="2E783BC2" w14:textId="77777777" w:rsidR="00EF22D4" w:rsidRPr="002F6069" w:rsidRDefault="00EF22D4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  <w:p w14:paraId="55993AA5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III. Montaje</w:t>
            </w:r>
          </w:p>
          <w:p w14:paraId="726BBC7B" w14:textId="77777777" w:rsidR="00EF22D4" w:rsidRPr="002F6069" w:rsidRDefault="00EF22D4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</w:p>
          <w:p w14:paraId="2A2AB425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-  </w:t>
            </w:r>
            <w:proofErr w:type="spellStart"/>
            <w:r w:rsidRPr="002F6069">
              <w:rPr>
                <w:rFonts w:eastAsia="Calibri"/>
                <w:sz w:val="24"/>
                <w:szCs w:val="24"/>
              </w:rPr>
              <w:t>Guión</w:t>
            </w:r>
            <w:proofErr w:type="spellEnd"/>
            <w:r w:rsidRPr="002F6069">
              <w:rPr>
                <w:rFonts w:eastAsia="Calibri"/>
                <w:sz w:val="24"/>
                <w:szCs w:val="24"/>
              </w:rPr>
              <w:t xml:space="preserve"> de Montaje.</w:t>
            </w:r>
          </w:p>
          <w:p w14:paraId="434DB3DA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-  Experimentación en el Montaje</w:t>
            </w:r>
          </w:p>
          <w:p w14:paraId="16F985D1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-  Posibilidades estético-técnicas de la </w:t>
            </w:r>
            <w:proofErr w:type="gramStart"/>
            <w:r w:rsidRPr="002F6069">
              <w:rPr>
                <w:rFonts w:eastAsia="Calibri"/>
                <w:sz w:val="24"/>
                <w:szCs w:val="24"/>
              </w:rPr>
              <w:t>Post-Producción</w:t>
            </w:r>
            <w:proofErr w:type="gramEnd"/>
            <w:r w:rsidRPr="002F6069">
              <w:rPr>
                <w:rFonts w:eastAsia="Calibri"/>
                <w:sz w:val="24"/>
                <w:szCs w:val="24"/>
              </w:rPr>
              <w:t>.</w:t>
            </w:r>
          </w:p>
          <w:p w14:paraId="7D8F71AC" w14:textId="77777777" w:rsidR="00EF22D4" w:rsidRPr="002F6069" w:rsidRDefault="00EF22D4">
            <w:p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</w:p>
          <w:p w14:paraId="0308D005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IV. Distribución</w:t>
            </w:r>
          </w:p>
          <w:p w14:paraId="0420FF1A" w14:textId="77777777" w:rsidR="00EF22D4" w:rsidRPr="002F6069" w:rsidRDefault="00EF22D4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</w:p>
          <w:p w14:paraId="00E72D2B" w14:textId="77777777" w:rsidR="00EF22D4" w:rsidRPr="002F6069" w:rsidRDefault="002F6069">
            <w:pPr>
              <w:tabs>
                <w:tab w:val="left" w:pos="459"/>
              </w:tabs>
              <w:ind w:left="175"/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-   Estrategia de circulación.</w:t>
            </w:r>
          </w:p>
          <w:p w14:paraId="3FBC6EE1" w14:textId="77777777" w:rsidR="00EF22D4" w:rsidRPr="002F6069" w:rsidRDefault="002F6069">
            <w:pPr>
              <w:numPr>
                <w:ilvl w:val="0"/>
                <w:numId w:val="1"/>
              </w:numPr>
              <w:tabs>
                <w:tab w:val="left" w:pos="459"/>
              </w:tabs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Ambientes de exhibición según cada película</w:t>
            </w:r>
          </w:p>
        </w:tc>
      </w:tr>
      <w:tr w:rsidR="00EF22D4" w:rsidRPr="002F6069" w14:paraId="68CA83C3" w14:textId="77777777">
        <w:trPr>
          <w:trHeight w:val="340"/>
        </w:trPr>
        <w:tc>
          <w:tcPr>
            <w:tcW w:w="2552" w:type="dxa"/>
            <w:shd w:val="clear" w:color="auto" w:fill="FFC000"/>
            <w:vAlign w:val="center"/>
          </w:tcPr>
          <w:p w14:paraId="1BF449F0" w14:textId="77777777" w:rsidR="00EF22D4" w:rsidRPr="002F6069" w:rsidRDefault="002F60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2F6069">
              <w:rPr>
                <w:rFonts w:eastAsia="Calibri"/>
                <w:b/>
                <w:sz w:val="24"/>
                <w:szCs w:val="24"/>
              </w:rPr>
              <w:t>Modalidad de evaluación</w:t>
            </w:r>
          </w:p>
        </w:tc>
        <w:tc>
          <w:tcPr>
            <w:tcW w:w="6202" w:type="dxa"/>
            <w:vAlign w:val="center"/>
          </w:tcPr>
          <w:p w14:paraId="05C53F1A" w14:textId="77777777" w:rsidR="00EF22D4" w:rsidRPr="002F6069" w:rsidRDefault="002F6069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Entrega de Avances primera mitad del semestre </w:t>
            </w:r>
          </w:p>
          <w:p w14:paraId="7B1283C9" w14:textId="77777777" w:rsidR="00EF22D4" w:rsidRPr="002F6069" w:rsidRDefault="002F6069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Entrega de Avances segunda mitad del semestre </w:t>
            </w:r>
          </w:p>
          <w:p w14:paraId="1056B0D5" w14:textId="77777777" w:rsidR="00EF22D4" w:rsidRPr="002F6069" w:rsidRDefault="002F6069">
            <w:pPr>
              <w:numPr>
                <w:ilvl w:val="0"/>
                <w:numId w:val="1"/>
              </w:numPr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 xml:space="preserve">Participación en clases </w:t>
            </w:r>
          </w:p>
        </w:tc>
      </w:tr>
      <w:tr w:rsidR="00EF22D4" w:rsidRPr="002F6069" w14:paraId="291089E2" w14:textId="77777777">
        <w:trPr>
          <w:trHeight w:val="340"/>
        </w:trPr>
        <w:tc>
          <w:tcPr>
            <w:tcW w:w="2552" w:type="dxa"/>
            <w:vMerge w:val="restart"/>
            <w:shd w:val="clear" w:color="auto" w:fill="FFC000"/>
            <w:vAlign w:val="center"/>
          </w:tcPr>
          <w:p w14:paraId="3C2DCC5F" w14:textId="77777777" w:rsidR="00EF22D4" w:rsidRPr="002F6069" w:rsidRDefault="002F6069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2F6069">
              <w:rPr>
                <w:rFonts w:eastAsia="Calibri"/>
                <w:b/>
                <w:sz w:val="24"/>
                <w:szCs w:val="24"/>
              </w:rPr>
              <w:t xml:space="preserve">Bibliografía </w:t>
            </w:r>
          </w:p>
        </w:tc>
        <w:tc>
          <w:tcPr>
            <w:tcW w:w="6202" w:type="dxa"/>
            <w:vAlign w:val="center"/>
          </w:tcPr>
          <w:p w14:paraId="44062E01" w14:textId="77777777" w:rsidR="00EF22D4" w:rsidRPr="002F6069" w:rsidRDefault="002F6069">
            <w:pPr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Básica:</w:t>
            </w:r>
          </w:p>
          <w:p w14:paraId="3C1FBFDE" w14:textId="77777777" w:rsidR="00EF22D4" w:rsidRPr="002F6069" w:rsidRDefault="002F6069">
            <w:pPr>
              <w:rPr>
                <w:rFonts w:eastAsia="Calibri"/>
                <w:sz w:val="24"/>
                <w:szCs w:val="24"/>
              </w:rPr>
            </w:pPr>
            <w:r w:rsidRPr="002F6069">
              <w:rPr>
                <w:rFonts w:eastAsia="Calibri"/>
                <w:sz w:val="24"/>
                <w:szCs w:val="24"/>
              </w:rPr>
              <w:t>No hay. La filmografía se va sugiriendo según las necesidades de referencias de cada proyecto</w:t>
            </w:r>
          </w:p>
        </w:tc>
      </w:tr>
      <w:tr w:rsidR="00EF22D4" w:rsidRPr="002F6069" w14:paraId="576869F2" w14:textId="77777777">
        <w:trPr>
          <w:trHeight w:val="340"/>
        </w:trPr>
        <w:tc>
          <w:tcPr>
            <w:tcW w:w="2552" w:type="dxa"/>
            <w:vMerge/>
            <w:shd w:val="clear" w:color="auto" w:fill="FFC000"/>
            <w:vAlign w:val="center"/>
          </w:tcPr>
          <w:p w14:paraId="7A865B98" w14:textId="77777777" w:rsidR="00EF22D4" w:rsidRPr="002F6069" w:rsidRDefault="00EF22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02" w:type="dxa"/>
            <w:vAlign w:val="center"/>
          </w:tcPr>
          <w:p w14:paraId="0F74D4C7" w14:textId="49AB2E47" w:rsidR="00EF22D4" w:rsidRPr="002F6069" w:rsidRDefault="00EF22D4">
            <w:pPr>
              <w:rPr>
                <w:rFonts w:eastAsia="Calibri"/>
                <w:sz w:val="24"/>
                <w:szCs w:val="24"/>
              </w:rPr>
            </w:pPr>
          </w:p>
          <w:p w14:paraId="101381D4" w14:textId="77777777" w:rsidR="00EF22D4" w:rsidRPr="002F6069" w:rsidRDefault="00EF22D4">
            <w:pPr>
              <w:rPr>
                <w:rFonts w:eastAsia="Calibri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14:paraId="5BB55123" w14:textId="77777777" w:rsidR="00EF22D4" w:rsidRPr="002F6069" w:rsidRDefault="00EF22D4">
      <w:pPr>
        <w:jc w:val="both"/>
      </w:pPr>
    </w:p>
    <w:sectPr w:rsidR="00EF22D4" w:rsidRPr="002F6069">
      <w:pgSz w:w="12240" w:h="15840"/>
      <w:pgMar w:top="1418" w:right="1467" w:bottom="1560" w:left="1418" w:header="284" w:footer="141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C0685"/>
    <w:multiLevelType w:val="multilevel"/>
    <w:tmpl w:val="B2C85378"/>
    <w:lvl w:ilvl="0">
      <w:start w:val="2016"/>
      <w:numFmt w:val="bullet"/>
      <w:lvlText w:val="-"/>
      <w:lvlJc w:val="left"/>
      <w:pPr>
        <w:ind w:left="535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9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535E0"/>
    <w:multiLevelType w:val="multilevel"/>
    <w:tmpl w:val="0B726B1A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2D4"/>
    <w:rsid w:val="002F6069"/>
    <w:rsid w:val="00E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DE6A"/>
  <w15:docId w15:val="{9069BB9B-D22B-44E0-A179-9001AEFF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A55"/>
    <w:rPr>
      <w:rFonts w:eastAsia="Times New Roman"/>
      <w:lang w:val="es-E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64A55"/>
    <w:rPr>
      <w:rFonts w:eastAsia="Times New Roman" w:cs="Times New Roman"/>
      <w:sz w:val="20"/>
      <w:szCs w:val="20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C64A55"/>
    <w:pPr>
      <w:jc w:val="both"/>
    </w:pPr>
    <w:rPr>
      <w:rFonts w:ascii="Trebuchet MS" w:hAnsi="Trebuchet MS" w:cs="Trebuchet MS"/>
      <w:color w:val="333333"/>
      <w:lang w:val="es-ES_tradnl" w:eastAsia="es-ES_trad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A55"/>
    <w:rPr>
      <w:rFonts w:ascii="Trebuchet MS" w:eastAsia="Times New Roman" w:hAnsi="Trebuchet MS" w:cs="Trebuchet MS"/>
      <w:color w:val="333333"/>
      <w:lang w:eastAsia="es-ES_tradnl"/>
    </w:rPr>
  </w:style>
  <w:style w:type="character" w:styleId="FootnoteReference">
    <w:name w:val="footnote reference"/>
    <w:basedOn w:val="DefaultParagraphFont"/>
    <w:uiPriority w:val="99"/>
    <w:semiHidden/>
    <w:rsid w:val="00C64A55"/>
    <w:rPr>
      <w:rFonts w:cs="Times New Roman"/>
      <w:vertAlign w:val="superscript"/>
    </w:rPr>
  </w:style>
  <w:style w:type="paragraph" w:styleId="ListParagraph">
    <w:name w:val="List Paragraph"/>
    <w:basedOn w:val="Normal"/>
    <w:uiPriority w:val="72"/>
    <w:qFormat/>
    <w:rsid w:val="00C64A55"/>
    <w:pPr>
      <w:ind w:left="720"/>
      <w:contextualSpacing/>
    </w:pPr>
    <w:rPr>
      <w:rFonts w:ascii="Calibri" w:eastAsia="Calibri" w:hAnsi="Calibri" w:cs="Times New Roman"/>
      <w:sz w:val="22"/>
      <w:szCs w:val="22"/>
      <w:lang w:val="es-CL" w:eastAsia="en-US"/>
    </w:rPr>
  </w:style>
  <w:style w:type="character" w:styleId="Hyperlink">
    <w:name w:val="Hyperlink"/>
    <w:basedOn w:val="DefaultParagraphFont"/>
    <w:uiPriority w:val="99"/>
    <w:unhideWhenUsed/>
    <w:rsid w:val="001642B8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I6kCsQiEkMds5pdCdbQLoiciQ==">AMUW2mUGsKnDDztMGtkBRmm/xwNi3f6SnnX46fsXZuaWgzCl5Z1lIB3eZodOXN6Bs+AYmfOOK7dDG4naZVAfTtDCFzUlEOig3Rg2A9pa+q5IXg6eitIZ3/I=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Medrano Soto</dc:creator>
  <cp:lastModifiedBy>Edgard Tomas Wang Saldana (edgard.wang)</cp:lastModifiedBy>
  <cp:revision>3</cp:revision>
  <dcterms:created xsi:type="dcterms:W3CDTF">2017-09-30T02:24:00Z</dcterms:created>
  <dcterms:modified xsi:type="dcterms:W3CDTF">2021-09-01T14:57:00Z</dcterms:modified>
</cp:coreProperties>
</file>