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4A" w:rsidRDefault="00FE104A" w:rsidP="00FE104A">
      <w:pPr>
        <w:jc w:val="both"/>
        <w:rPr>
          <w:rFonts w:ascii="Calibri" w:hAnsi="Calibri"/>
          <w:color w:val="222222"/>
          <w:shd w:val="clear" w:color="auto" w:fill="FFFFFF"/>
          <w:lang w:val="es-ES"/>
        </w:rPr>
      </w:pPr>
      <w:r>
        <w:rPr>
          <w:rFonts w:ascii="Calibri" w:hAnsi="Calibri"/>
          <w:color w:val="222222"/>
          <w:shd w:val="clear" w:color="auto" w:fill="FFFFFF"/>
          <w:lang w:val="es-ES"/>
        </w:rPr>
        <w:t>Taller modelo de campañas</w:t>
      </w:r>
    </w:p>
    <w:p w:rsidR="008C0009" w:rsidRDefault="00FE104A" w:rsidP="00FE104A">
      <w:pPr>
        <w:jc w:val="both"/>
      </w:pPr>
      <w:r>
        <w:rPr>
          <w:rFonts w:ascii="Calibri" w:hAnsi="Calibri"/>
          <w:color w:val="222222"/>
          <w:shd w:val="clear" w:color="auto" w:fill="FFFFFF"/>
          <w:lang w:val="es-ES"/>
        </w:rPr>
        <w:t xml:space="preserve">Desde una perspectiva analítica se estudia el desarrollo de las competencias para evaluar campañas políticas, describir sus principios de funcionamiento y, con ello, aprehender los procesos sociopolíticos que la generan, asimismo adquirir los saberes implicados en la elaboración de estrategias persuasivas políticas. Teniendo en cuenta que el discurso político es hoy un dispositivo audiovisual, no son sólo los discursos lingüísticos el objeto de estudio, ni tampoco sólo sus contenidos, sino que todas las formas de funcionamiento de la puesta en imágenes de una campaña. Es por ello que el taller de "modelos y campañas" implica una perspectiva </w:t>
      </w:r>
      <w:proofErr w:type="spellStart"/>
      <w:r>
        <w:rPr>
          <w:rFonts w:ascii="Calibri" w:hAnsi="Calibri"/>
          <w:color w:val="222222"/>
          <w:shd w:val="clear" w:color="auto" w:fill="FFFFFF"/>
          <w:lang w:val="es-ES"/>
        </w:rPr>
        <w:t>transdisciplinaria</w:t>
      </w:r>
      <w:proofErr w:type="spellEnd"/>
      <w:r>
        <w:rPr>
          <w:rFonts w:ascii="Calibri" w:hAnsi="Calibri"/>
          <w:color w:val="222222"/>
          <w:shd w:val="clear" w:color="auto" w:fill="FFFFFF"/>
          <w:lang w:val="es-ES"/>
        </w:rPr>
        <w:t xml:space="preserve">: desde la sociología política y comunicacional, a la semiótica </w:t>
      </w:r>
      <w:proofErr w:type="spellStart"/>
      <w:r>
        <w:rPr>
          <w:rFonts w:ascii="Calibri" w:hAnsi="Calibri"/>
          <w:color w:val="222222"/>
          <w:shd w:val="clear" w:color="auto" w:fill="FFFFFF"/>
          <w:lang w:val="es-ES"/>
        </w:rPr>
        <w:t>multimedial</w:t>
      </w:r>
      <w:proofErr w:type="spellEnd"/>
      <w:r>
        <w:rPr>
          <w:rFonts w:ascii="Calibri" w:hAnsi="Calibri"/>
          <w:color w:val="222222"/>
          <w:shd w:val="clear" w:color="auto" w:fill="FFFFFF"/>
          <w:lang w:val="es-ES"/>
        </w:rPr>
        <w:t xml:space="preserve"> y audiovisual, al mismo tiempo implicando al psicoanálisis, el marketing, las ciencias cognitivas y la antropología.</w:t>
      </w:r>
      <w:r>
        <w:rPr>
          <w:rFonts w:ascii="Arial" w:hAnsi="Arial" w:cs="Arial"/>
          <w:color w:val="222222"/>
          <w:shd w:val="clear" w:color="auto" w:fill="FFFFFF"/>
        </w:rPr>
        <w:t>    </w:t>
      </w:r>
    </w:p>
    <w:sectPr w:rsidR="008C0009" w:rsidSect="008C00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E104A"/>
    <w:rsid w:val="00172E4C"/>
    <w:rsid w:val="008C0009"/>
    <w:rsid w:val="00E1088E"/>
    <w:rsid w:val="00FE10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754</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2019-08-06T17:53:00Z</dcterms:created>
  <dcterms:modified xsi:type="dcterms:W3CDTF">2019-08-06T17:54:00Z</dcterms:modified>
</cp:coreProperties>
</file>