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A8DB" w14:textId="6863A7CE" w:rsidR="00BE7567" w:rsidRPr="002E5414" w:rsidRDefault="00BE7567" w:rsidP="00615E62">
      <w:pPr>
        <w:spacing w:after="0" w:line="240" w:lineRule="auto"/>
        <w:jc w:val="center"/>
        <w:rPr>
          <w:b/>
          <w:lang w:val="es-ES"/>
        </w:rPr>
      </w:pPr>
      <w:r w:rsidRPr="002E5414">
        <w:rPr>
          <w:b/>
          <w:lang w:val="es-ES"/>
        </w:rPr>
        <w:t xml:space="preserve">CURSO </w:t>
      </w:r>
    </w:p>
    <w:p w14:paraId="358A974D" w14:textId="31C1E08B" w:rsidR="00BE7567" w:rsidRDefault="00966C8C" w:rsidP="00615E62">
      <w:pPr>
        <w:spacing w:after="0" w:line="240" w:lineRule="auto"/>
        <w:jc w:val="center"/>
        <w:rPr>
          <w:b/>
          <w:lang w:val="es-ES"/>
        </w:rPr>
      </w:pPr>
      <w:r>
        <w:rPr>
          <w:b/>
          <w:lang w:val="es-ES"/>
        </w:rPr>
        <w:t>DERECHO Y CIUDAD</w:t>
      </w:r>
    </w:p>
    <w:p w14:paraId="20DB323A" w14:textId="77777777" w:rsidR="00362DB0" w:rsidRDefault="00362DB0" w:rsidP="00615E62">
      <w:pPr>
        <w:spacing w:after="0" w:line="240" w:lineRule="auto"/>
        <w:jc w:val="center"/>
        <w:rPr>
          <w:b/>
          <w:lang w:val="es-ES"/>
        </w:rPr>
      </w:pPr>
    </w:p>
    <w:p w14:paraId="142298F7" w14:textId="77777777" w:rsidR="00362DB0" w:rsidRPr="00362DB0" w:rsidRDefault="00362DB0" w:rsidP="00615E62">
      <w:pPr>
        <w:spacing w:after="0" w:line="240" w:lineRule="auto"/>
        <w:jc w:val="center"/>
        <w:rPr>
          <w:lang w:val="es-ES"/>
        </w:rPr>
      </w:pPr>
    </w:p>
    <w:p w14:paraId="0E52F08F" w14:textId="77777777" w:rsidR="00362DB0" w:rsidRDefault="00362DB0" w:rsidP="00362DB0">
      <w:pPr>
        <w:spacing w:after="0" w:line="240" w:lineRule="auto"/>
        <w:rPr>
          <w:lang w:val="es-ES"/>
        </w:rPr>
      </w:pPr>
      <w:r>
        <w:rPr>
          <w:lang w:val="es-ES"/>
        </w:rPr>
        <w:t xml:space="preserve">Por: </w:t>
      </w:r>
      <w:r w:rsidRPr="00362DB0">
        <w:rPr>
          <w:lang w:val="es-ES"/>
        </w:rPr>
        <w:t xml:space="preserve">Vicente Burgos Salas, abogado de la Universidad de Chile, </w:t>
      </w:r>
      <w:proofErr w:type="spellStart"/>
      <w:r w:rsidRPr="00362DB0">
        <w:rPr>
          <w:lang w:val="es-ES"/>
        </w:rPr>
        <w:t>MSc</w:t>
      </w:r>
      <w:proofErr w:type="spellEnd"/>
      <w:r w:rsidR="007664BD">
        <w:rPr>
          <w:lang w:val="es-ES"/>
        </w:rPr>
        <w:t xml:space="preserve"> y PhD</w:t>
      </w:r>
      <w:r w:rsidRPr="00362DB0">
        <w:rPr>
          <w:lang w:val="es-ES"/>
        </w:rPr>
        <w:t xml:space="preserve"> en </w:t>
      </w:r>
      <w:proofErr w:type="spellStart"/>
      <w:r w:rsidRPr="00362DB0">
        <w:rPr>
          <w:lang w:val="es-ES"/>
        </w:rPr>
        <w:t>Development</w:t>
      </w:r>
      <w:proofErr w:type="spellEnd"/>
      <w:r w:rsidRPr="00362DB0">
        <w:rPr>
          <w:lang w:val="es-ES"/>
        </w:rPr>
        <w:t xml:space="preserve"> and </w:t>
      </w:r>
      <w:proofErr w:type="spellStart"/>
      <w:r w:rsidRPr="00362DB0">
        <w:rPr>
          <w:lang w:val="es-ES"/>
        </w:rPr>
        <w:t>P</w:t>
      </w:r>
      <w:r w:rsidR="008A396D">
        <w:rPr>
          <w:lang w:val="es-ES"/>
        </w:rPr>
        <w:t>l</w:t>
      </w:r>
      <w:r w:rsidRPr="00362DB0">
        <w:rPr>
          <w:lang w:val="es-ES"/>
        </w:rPr>
        <w:t>anning</w:t>
      </w:r>
      <w:proofErr w:type="spellEnd"/>
      <w:r w:rsidRPr="00362DB0">
        <w:rPr>
          <w:lang w:val="es-ES"/>
        </w:rPr>
        <w:t xml:space="preserve"> de la </w:t>
      </w:r>
      <w:proofErr w:type="spellStart"/>
      <w:r w:rsidRPr="00362DB0">
        <w:rPr>
          <w:lang w:val="es-ES"/>
        </w:rPr>
        <w:t>University</w:t>
      </w:r>
      <w:proofErr w:type="spellEnd"/>
      <w:r w:rsidRPr="00362DB0">
        <w:rPr>
          <w:lang w:val="es-ES"/>
        </w:rPr>
        <w:t xml:space="preserve"> </w:t>
      </w:r>
      <w:proofErr w:type="spellStart"/>
      <w:r w:rsidRPr="00362DB0">
        <w:rPr>
          <w:lang w:val="es-ES"/>
        </w:rPr>
        <w:t>College</w:t>
      </w:r>
      <w:proofErr w:type="spellEnd"/>
      <w:r w:rsidRPr="00362DB0">
        <w:rPr>
          <w:lang w:val="es-ES"/>
        </w:rPr>
        <w:t xml:space="preserve"> London</w:t>
      </w:r>
      <w:r w:rsidR="008A396D">
        <w:rPr>
          <w:lang w:val="es-ES"/>
        </w:rPr>
        <w:t>, Reino Unido</w:t>
      </w:r>
      <w:r w:rsidRPr="00362DB0">
        <w:rPr>
          <w:lang w:val="es-ES"/>
        </w:rPr>
        <w:t>.</w:t>
      </w:r>
      <w:r w:rsidR="006A734A">
        <w:rPr>
          <w:lang w:val="es-ES"/>
        </w:rPr>
        <w:t xml:space="preserve"> Experiencia en desarrollo de proyectos de vivienda social</w:t>
      </w:r>
      <w:r w:rsidR="00F23485">
        <w:rPr>
          <w:lang w:val="es-ES"/>
        </w:rPr>
        <w:t xml:space="preserve">, regulación urbanística e investigación en Derecho. </w:t>
      </w:r>
    </w:p>
    <w:p w14:paraId="1EE3539A" w14:textId="77777777" w:rsidR="00175F01" w:rsidRDefault="00175F01" w:rsidP="00362DB0">
      <w:pPr>
        <w:spacing w:after="0" w:line="240" w:lineRule="auto"/>
        <w:rPr>
          <w:lang w:val="es-ES"/>
        </w:rPr>
      </w:pPr>
    </w:p>
    <w:p w14:paraId="120AF086" w14:textId="77777777" w:rsidR="00362DB0" w:rsidRDefault="00362DB0" w:rsidP="00362DB0">
      <w:pPr>
        <w:spacing w:after="0" w:line="240" w:lineRule="auto"/>
        <w:rPr>
          <w:lang w:val="es-ES"/>
        </w:rPr>
      </w:pPr>
    </w:p>
    <w:p w14:paraId="48B9F349" w14:textId="77777777" w:rsidR="00362DB0" w:rsidRDefault="00362DB0" w:rsidP="00362DB0">
      <w:pPr>
        <w:spacing w:after="0" w:line="240" w:lineRule="auto"/>
        <w:rPr>
          <w:lang w:val="es-ES"/>
        </w:rPr>
      </w:pPr>
      <w:r>
        <w:rPr>
          <w:lang w:val="es-ES"/>
        </w:rPr>
        <w:t>1.</w:t>
      </w:r>
      <w:r>
        <w:rPr>
          <w:lang w:val="es-ES"/>
        </w:rPr>
        <w:tab/>
      </w:r>
      <w:r w:rsidRPr="00362DB0">
        <w:rPr>
          <w:b/>
          <w:u w:val="single"/>
          <w:lang w:val="es-ES"/>
        </w:rPr>
        <w:t>Objetivo general</w:t>
      </w:r>
      <w:r w:rsidRPr="00362DB0">
        <w:rPr>
          <w:lang w:val="es-ES"/>
        </w:rPr>
        <w:t>:</w:t>
      </w:r>
      <w:r w:rsidRPr="00362DB0">
        <w:rPr>
          <w:lang w:val="es-ES"/>
        </w:rPr>
        <w:tab/>
      </w:r>
    </w:p>
    <w:p w14:paraId="20B7109D" w14:textId="77777777" w:rsidR="00362DB0" w:rsidRDefault="00362DB0" w:rsidP="00362DB0">
      <w:pPr>
        <w:spacing w:after="0" w:line="240" w:lineRule="auto"/>
        <w:rPr>
          <w:lang w:val="es-ES"/>
        </w:rPr>
      </w:pPr>
    </w:p>
    <w:p w14:paraId="2A050963" w14:textId="66DC0B3A" w:rsidR="00362DB0" w:rsidRPr="00362DB0" w:rsidRDefault="00362DB0" w:rsidP="00362DB0">
      <w:pPr>
        <w:pStyle w:val="Prrafodelista"/>
        <w:numPr>
          <w:ilvl w:val="0"/>
          <w:numId w:val="10"/>
        </w:numPr>
        <w:spacing w:after="0" w:line="240" w:lineRule="auto"/>
        <w:rPr>
          <w:lang w:val="es-ES"/>
        </w:rPr>
      </w:pPr>
      <w:r>
        <w:rPr>
          <w:lang w:val="es-ES"/>
        </w:rPr>
        <w:t>El curso Derecho y Ciudad pretende c</w:t>
      </w:r>
      <w:r w:rsidRPr="00362DB0">
        <w:rPr>
          <w:lang w:val="es-ES"/>
        </w:rPr>
        <w:t>omprender en términos teóricos, normativos y prácticos, el rol que juega el derecho en el desarrollo de las ciudades</w:t>
      </w:r>
      <w:r w:rsidR="00041BAB">
        <w:rPr>
          <w:lang w:val="es-ES"/>
        </w:rPr>
        <w:t xml:space="preserve"> y el espacio construido.</w:t>
      </w:r>
      <w:r w:rsidRPr="00362DB0">
        <w:rPr>
          <w:lang w:val="es-ES"/>
        </w:rPr>
        <w:t xml:space="preserve">   </w:t>
      </w:r>
    </w:p>
    <w:p w14:paraId="1E45F734" w14:textId="77777777" w:rsidR="00362DB0" w:rsidRDefault="00362DB0" w:rsidP="00362DB0">
      <w:pPr>
        <w:pStyle w:val="Prrafodelista"/>
        <w:numPr>
          <w:ilvl w:val="0"/>
          <w:numId w:val="10"/>
        </w:numPr>
        <w:spacing w:after="0" w:line="240" w:lineRule="auto"/>
        <w:rPr>
          <w:lang w:val="es-ES"/>
        </w:rPr>
      </w:pPr>
      <w:r w:rsidRPr="00362DB0">
        <w:rPr>
          <w:lang w:val="es-ES"/>
        </w:rPr>
        <w:t>El curso se inspira en las siguientes preguntas ¿Cómo el Derecho contribuye a generar la ciudad que queremos? ¿Cómo las normas influyen en la ubicación, diseño, integración y densidad, por decir algunos, de los proyectos urbanos e inmobiliarios? ¿Qué relación existe entre los distintos derechos que configuran nuestro sistema jurídico, el espacio y la ciudad? Y, finalmente, ¿cómo el espacio y la ciudad generan derecho?</w:t>
      </w:r>
    </w:p>
    <w:p w14:paraId="7D29505E" w14:textId="77777777" w:rsidR="00175F01" w:rsidRDefault="00175F01" w:rsidP="00175F01">
      <w:pPr>
        <w:spacing w:after="0" w:line="240" w:lineRule="auto"/>
        <w:rPr>
          <w:lang w:val="es-ES"/>
        </w:rPr>
      </w:pPr>
    </w:p>
    <w:p w14:paraId="34FD151E" w14:textId="77777777" w:rsidR="00175F01" w:rsidRDefault="00175F01" w:rsidP="00175F01">
      <w:pPr>
        <w:spacing w:after="0" w:line="240" w:lineRule="auto"/>
        <w:rPr>
          <w:lang w:val="es-ES"/>
        </w:rPr>
      </w:pPr>
      <w:r>
        <w:rPr>
          <w:lang w:val="es-ES"/>
        </w:rPr>
        <w:t>2.</w:t>
      </w:r>
      <w:r>
        <w:rPr>
          <w:lang w:val="es-ES"/>
        </w:rPr>
        <w:tab/>
      </w:r>
      <w:r w:rsidRPr="00175F01">
        <w:rPr>
          <w:b/>
          <w:u w:val="single"/>
          <w:lang w:val="es-ES"/>
        </w:rPr>
        <w:t>Objetivos específicos</w:t>
      </w:r>
      <w:r w:rsidRPr="00175F01">
        <w:rPr>
          <w:lang w:val="es-ES"/>
        </w:rPr>
        <w:t>:</w:t>
      </w:r>
      <w:r w:rsidRPr="00175F01">
        <w:rPr>
          <w:lang w:val="es-ES"/>
        </w:rPr>
        <w:tab/>
      </w:r>
    </w:p>
    <w:p w14:paraId="6C1FFA2F" w14:textId="77777777" w:rsidR="00175F01" w:rsidRDefault="00175F01" w:rsidP="00175F01">
      <w:pPr>
        <w:spacing w:after="0" w:line="240" w:lineRule="auto"/>
        <w:rPr>
          <w:lang w:val="es-ES"/>
        </w:rPr>
      </w:pPr>
    </w:p>
    <w:p w14:paraId="21CDD88F" w14:textId="77777777" w:rsidR="00175F01" w:rsidRPr="00175F01" w:rsidRDefault="00175F01" w:rsidP="00175F01">
      <w:pPr>
        <w:pStyle w:val="Prrafodelista"/>
        <w:numPr>
          <w:ilvl w:val="0"/>
          <w:numId w:val="11"/>
        </w:numPr>
        <w:spacing w:after="0" w:line="240" w:lineRule="auto"/>
        <w:rPr>
          <w:lang w:val="es-ES"/>
        </w:rPr>
      </w:pPr>
      <w:r w:rsidRPr="00175F01">
        <w:rPr>
          <w:lang w:val="es-ES"/>
        </w:rPr>
        <w:t>Estudiar la estructura normativa aplicable al territorio, identificando los actores, instituciones y sus atribuciones normativas y presupuestarias.</w:t>
      </w:r>
    </w:p>
    <w:p w14:paraId="70F9A69C" w14:textId="77777777" w:rsidR="00175F01" w:rsidRPr="00175F01" w:rsidRDefault="00175F01" w:rsidP="00175F01">
      <w:pPr>
        <w:pStyle w:val="Prrafodelista"/>
        <w:numPr>
          <w:ilvl w:val="0"/>
          <w:numId w:val="11"/>
        </w:numPr>
        <w:spacing w:after="0" w:line="240" w:lineRule="auto"/>
        <w:rPr>
          <w:lang w:val="es-ES"/>
        </w:rPr>
      </w:pPr>
      <w:r w:rsidRPr="00175F01">
        <w:rPr>
          <w:lang w:val="es-ES"/>
        </w:rPr>
        <w:t xml:space="preserve">Analizar las principales experiencias internacionales sobre los mecanismos para impulsar los procesos de planificación en la ciudad. </w:t>
      </w:r>
    </w:p>
    <w:p w14:paraId="3479A582" w14:textId="77777777" w:rsidR="00175F01" w:rsidRPr="00175F01" w:rsidRDefault="00175F01" w:rsidP="00175F01">
      <w:pPr>
        <w:pStyle w:val="Prrafodelista"/>
        <w:numPr>
          <w:ilvl w:val="0"/>
          <w:numId w:val="11"/>
        </w:numPr>
        <w:spacing w:after="0" w:line="240" w:lineRule="auto"/>
        <w:rPr>
          <w:lang w:val="es-ES"/>
        </w:rPr>
      </w:pPr>
      <w:r w:rsidRPr="00175F01">
        <w:rPr>
          <w:lang w:val="es-ES"/>
        </w:rPr>
        <w:t xml:space="preserve">Profundizar respecto a el significado del Derecho a la Propiedad y el Derecho a la ciudad, sus desafíos e implicancias para ejercerlo en Chile. </w:t>
      </w:r>
    </w:p>
    <w:p w14:paraId="39CF495D" w14:textId="52296A45" w:rsidR="00175F01" w:rsidRDefault="00175F01" w:rsidP="00175F01">
      <w:pPr>
        <w:pStyle w:val="Prrafodelista"/>
        <w:numPr>
          <w:ilvl w:val="0"/>
          <w:numId w:val="11"/>
        </w:numPr>
        <w:spacing w:after="0" w:line="240" w:lineRule="auto"/>
        <w:rPr>
          <w:lang w:val="es-ES"/>
        </w:rPr>
      </w:pPr>
      <w:r w:rsidRPr="00175F01">
        <w:rPr>
          <w:lang w:val="es-ES"/>
        </w:rPr>
        <w:t xml:space="preserve">Discutir la relevancia del derecho en la construcción </w:t>
      </w:r>
      <w:r w:rsidR="00041BAB">
        <w:rPr>
          <w:lang w:val="es-ES"/>
        </w:rPr>
        <w:t xml:space="preserve">del espacio </w:t>
      </w:r>
      <w:r w:rsidRPr="00175F01">
        <w:rPr>
          <w:lang w:val="es-ES"/>
        </w:rPr>
        <w:t xml:space="preserve">en el “día a día” de distintos actores públicos, privados y civiles. En particular, se pretende introducir el concepto de geografía y derecho, como herramienta socio jurídica para </w:t>
      </w:r>
      <w:r w:rsidR="00041BAB">
        <w:rPr>
          <w:lang w:val="es-ES"/>
        </w:rPr>
        <w:t xml:space="preserve">el análisis urbano y del espacio. </w:t>
      </w:r>
    </w:p>
    <w:p w14:paraId="603E4628" w14:textId="77777777" w:rsidR="00175F01" w:rsidRDefault="00175F01" w:rsidP="00175F01">
      <w:pPr>
        <w:spacing w:after="0" w:line="240" w:lineRule="auto"/>
        <w:rPr>
          <w:lang w:val="es-ES"/>
        </w:rPr>
      </w:pPr>
    </w:p>
    <w:p w14:paraId="50165069" w14:textId="5AD23819" w:rsidR="00175F01" w:rsidRDefault="00175F01" w:rsidP="00175F01">
      <w:pPr>
        <w:spacing w:after="0" w:line="240" w:lineRule="auto"/>
        <w:rPr>
          <w:lang w:val="es-ES"/>
        </w:rPr>
      </w:pPr>
      <w:r>
        <w:rPr>
          <w:lang w:val="es-ES"/>
        </w:rPr>
        <w:t>3.</w:t>
      </w:r>
      <w:r>
        <w:rPr>
          <w:lang w:val="es-ES"/>
        </w:rPr>
        <w:tab/>
      </w:r>
      <w:r w:rsidRPr="00175F01">
        <w:rPr>
          <w:b/>
          <w:u w:val="single"/>
          <w:lang w:val="es-ES"/>
        </w:rPr>
        <w:t>Contenidos</w:t>
      </w:r>
      <w:r w:rsidRPr="00175F01">
        <w:rPr>
          <w:lang w:val="es-ES"/>
        </w:rPr>
        <w:t>:</w:t>
      </w:r>
      <w:r w:rsidRPr="00175F01">
        <w:rPr>
          <w:lang w:val="es-ES"/>
        </w:rPr>
        <w:tab/>
      </w:r>
    </w:p>
    <w:p w14:paraId="0317AADC" w14:textId="11C6E181" w:rsidR="00175F01" w:rsidRDefault="00175F01" w:rsidP="00175F01">
      <w:pPr>
        <w:spacing w:after="0" w:line="240" w:lineRule="auto"/>
        <w:rPr>
          <w:lang w:val="es-ES"/>
        </w:rPr>
      </w:pPr>
    </w:p>
    <w:p w14:paraId="5EC8F0EE" w14:textId="58E07E53" w:rsidR="009B7955" w:rsidRPr="000A4B83" w:rsidRDefault="009B7955" w:rsidP="009B7955">
      <w:pPr>
        <w:spacing w:after="0" w:line="240" w:lineRule="auto"/>
        <w:rPr>
          <w:b/>
          <w:lang w:val="es-ES"/>
        </w:rPr>
      </w:pPr>
      <w:r>
        <w:rPr>
          <w:lang w:val="es-ES"/>
        </w:rPr>
        <w:t>3.1</w:t>
      </w:r>
      <w:r>
        <w:rPr>
          <w:lang w:val="es-ES"/>
        </w:rPr>
        <w:tab/>
      </w:r>
      <w:r>
        <w:rPr>
          <w:b/>
          <w:lang w:val="es-ES"/>
        </w:rPr>
        <w:t>1</w:t>
      </w:r>
      <w:r w:rsidRPr="000A4B83">
        <w:rPr>
          <w:b/>
          <w:lang w:val="es-ES"/>
        </w:rPr>
        <w:t>ra Unidad: El Derecho como una herramienta para entender la ciudad: Geografía y Derecho</w:t>
      </w:r>
    </w:p>
    <w:p w14:paraId="5DCFD51E" w14:textId="77777777" w:rsidR="009B7955" w:rsidRPr="00175F01" w:rsidRDefault="009B7955" w:rsidP="009B7955">
      <w:pPr>
        <w:spacing w:after="0" w:line="240" w:lineRule="auto"/>
        <w:rPr>
          <w:lang w:val="es-ES"/>
        </w:rPr>
      </w:pPr>
    </w:p>
    <w:p w14:paraId="092FC701" w14:textId="3884918D" w:rsidR="009B7955" w:rsidRDefault="00966C8C" w:rsidP="009B7955">
      <w:pPr>
        <w:spacing w:after="0" w:line="240" w:lineRule="auto"/>
        <w:rPr>
          <w:lang w:val="es-ES"/>
        </w:rPr>
      </w:pPr>
      <w:r>
        <w:rPr>
          <w:lang w:val="es-ES"/>
        </w:rPr>
        <w:t>Clase 1:</w:t>
      </w:r>
      <w:r>
        <w:rPr>
          <w:lang w:val="es-ES"/>
        </w:rPr>
        <w:tab/>
      </w:r>
      <w:r>
        <w:rPr>
          <w:lang w:val="es-ES"/>
        </w:rPr>
        <w:tab/>
        <w:t xml:space="preserve">Introducción al Derecho y Geografía: utilizar el derecho para entender el espacio. </w:t>
      </w:r>
    </w:p>
    <w:p w14:paraId="08F22272" w14:textId="77777777" w:rsidR="009B7955" w:rsidRDefault="009B7955" w:rsidP="009B7955">
      <w:pPr>
        <w:spacing w:after="0" w:line="240" w:lineRule="auto"/>
        <w:rPr>
          <w:lang w:val="es-ES"/>
        </w:rPr>
      </w:pPr>
    </w:p>
    <w:p w14:paraId="4C2021EA" w14:textId="3EA1D9C8" w:rsidR="009B7955" w:rsidRDefault="009B7955" w:rsidP="009B7955">
      <w:pPr>
        <w:spacing w:after="0" w:line="240" w:lineRule="auto"/>
        <w:rPr>
          <w:lang w:val="es-ES"/>
        </w:rPr>
      </w:pPr>
      <w:r>
        <w:rPr>
          <w:lang w:val="es-ES"/>
        </w:rPr>
        <w:t xml:space="preserve">Clase </w:t>
      </w:r>
      <w:r w:rsidR="00966C8C">
        <w:rPr>
          <w:lang w:val="es-ES"/>
        </w:rPr>
        <w:t>2</w:t>
      </w:r>
      <w:r>
        <w:rPr>
          <w:lang w:val="es-ES"/>
        </w:rPr>
        <w:t>:</w:t>
      </w:r>
      <w:r>
        <w:rPr>
          <w:lang w:val="es-ES"/>
        </w:rPr>
        <w:tab/>
      </w:r>
      <w:r w:rsidR="00966C8C">
        <w:rPr>
          <w:lang w:val="es-ES"/>
        </w:rPr>
        <w:tab/>
        <w:t>Introducción al Derecho y sus Instituciones desde la ciudad.</w:t>
      </w:r>
      <w:r>
        <w:rPr>
          <w:lang w:val="es-ES"/>
        </w:rPr>
        <w:t xml:space="preserve"> </w:t>
      </w:r>
    </w:p>
    <w:p w14:paraId="07C1F82F" w14:textId="77777777" w:rsidR="009B7955" w:rsidRDefault="009B7955" w:rsidP="009B7955">
      <w:pPr>
        <w:spacing w:after="0" w:line="240" w:lineRule="auto"/>
        <w:rPr>
          <w:lang w:val="es-ES"/>
        </w:rPr>
      </w:pPr>
    </w:p>
    <w:p w14:paraId="375AE550" w14:textId="2FB58818" w:rsidR="009B7955" w:rsidRDefault="009B7955" w:rsidP="009B7955">
      <w:pPr>
        <w:spacing w:after="0" w:line="240" w:lineRule="auto"/>
        <w:rPr>
          <w:lang w:val="es-ES"/>
        </w:rPr>
      </w:pPr>
      <w:r>
        <w:rPr>
          <w:lang w:val="es-ES"/>
        </w:rPr>
        <w:t xml:space="preserve">Clase </w:t>
      </w:r>
      <w:r w:rsidR="00966C8C">
        <w:rPr>
          <w:lang w:val="es-ES"/>
        </w:rPr>
        <w:t>3</w:t>
      </w:r>
      <w:r>
        <w:rPr>
          <w:lang w:val="es-ES"/>
        </w:rPr>
        <w:t>:</w:t>
      </w:r>
      <w:r>
        <w:rPr>
          <w:lang w:val="es-ES"/>
        </w:rPr>
        <w:tab/>
      </w:r>
      <w:r w:rsidR="00966C8C">
        <w:rPr>
          <w:lang w:val="es-ES"/>
        </w:rPr>
        <w:tab/>
      </w:r>
      <w:r>
        <w:rPr>
          <w:lang w:val="es-ES"/>
        </w:rPr>
        <w:t xml:space="preserve">Derecho y Geografía. </w:t>
      </w:r>
      <w:r w:rsidR="00966C8C">
        <w:rPr>
          <w:lang w:val="es-ES"/>
        </w:rPr>
        <w:t xml:space="preserve">El rol </w:t>
      </w:r>
      <w:proofErr w:type="spellStart"/>
      <w:r w:rsidR="00966C8C">
        <w:rPr>
          <w:lang w:val="es-ES"/>
        </w:rPr>
        <w:t>co</w:t>
      </w:r>
      <w:proofErr w:type="spellEnd"/>
      <w:r w:rsidR="00966C8C">
        <w:rPr>
          <w:lang w:val="es-ES"/>
        </w:rPr>
        <w:t>-constitutivo del derecho en el espacio.</w:t>
      </w:r>
    </w:p>
    <w:p w14:paraId="351BF76B" w14:textId="77777777" w:rsidR="009B7955" w:rsidRDefault="009B7955" w:rsidP="009B7955">
      <w:pPr>
        <w:spacing w:after="0" w:line="240" w:lineRule="auto"/>
        <w:rPr>
          <w:lang w:val="es-ES"/>
        </w:rPr>
      </w:pPr>
    </w:p>
    <w:p w14:paraId="0CEF970C" w14:textId="0CF0546F" w:rsidR="009B7955" w:rsidRDefault="009B7955" w:rsidP="00966C8C">
      <w:pPr>
        <w:spacing w:after="0" w:line="240" w:lineRule="auto"/>
        <w:ind w:left="1440" w:hanging="1440"/>
        <w:rPr>
          <w:lang w:val="es-ES"/>
        </w:rPr>
      </w:pPr>
      <w:r>
        <w:rPr>
          <w:lang w:val="es-ES"/>
        </w:rPr>
        <w:t>Clase</w:t>
      </w:r>
      <w:r w:rsidR="00966C8C">
        <w:rPr>
          <w:lang w:val="es-ES"/>
        </w:rPr>
        <w:t xml:space="preserve"> 4</w:t>
      </w:r>
      <w:r>
        <w:rPr>
          <w:lang w:val="es-ES"/>
        </w:rPr>
        <w:t>:</w:t>
      </w:r>
      <w:r>
        <w:rPr>
          <w:lang w:val="es-ES"/>
        </w:rPr>
        <w:tab/>
        <w:t xml:space="preserve">Utilizar el Derecho para entender la ciudad. </w:t>
      </w:r>
      <w:r w:rsidR="00966C8C">
        <w:rPr>
          <w:lang w:val="es-ES"/>
        </w:rPr>
        <w:t xml:space="preserve">Conflictos </w:t>
      </w:r>
      <w:proofErr w:type="gramStart"/>
      <w:r w:rsidR="00966C8C">
        <w:rPr>
          <w:lang w:val="es-ES"/>
        </w:rPr>
        <w:t>urbano legales</w:t>
      </w:r>
      <w:proofErr w:type="gramEnd"/>
      <w:r>
        <w:rPr>
          <w:lang w:val="es-ES"/>
        </w:rPr>
        <w:t xml:space="preserve"> en comunas de Santiago. </w:t>
      </w:r>
    </w:p>
    <w:p w14:paraId="5E824C4C" w14:textId="77777777" w:rsidR="009B7955" w:rsidRDefault="009B7955" w:rsidP="009B7955">
      <w:pPr>
        <w:spacing w:after="0" w:line="240" w:lineRule="auto"/>
        <w:rPr>
          <w:lang w:val="es-ES"/>
        </w:rPr>
      </w:pPr>
    </w:p>
    <w:p w14:paraId="47B5EE81" w14:textId="77777777" w:rsidR="009B7955" w:rsidRPr="000A4B83" w:rsidRDefault="009B7955" w:rsidP="009B7955">
      <w:pPr>
        <w:spacing w:after="0" w:line="240" w:lineRule="auto"/>
        <w:rPr>
          <w:sz w:val="18"/>
          <w:szCs w:val="18"/>
        </w:rPr>
      </w:pPr>
      <w:proofErr w:type="spellStart"/>
      <w:r w:rsidRPr="000A4B83">
        <w:rPr>
          <w:sz w:val="18"/>
          <w:szCs w:val="18"/>
        </w:rPr>
        <w:t>Lecturas</w:t>
      </w:r>
      <w:proofErr w:type="spellEnd"/>
    </w:p>
    <w:p w14:paraId="298B9E1C" w14:textId="77777777" w:rsidR="009B7955" w:rsidRPr="000A4B83" w:rsidRDefault="009B7955" w:rsidP="009B7955">
      <w:pPr>
        <w:spacing w:after="0" w:line="240" w:lineRule="auto"/>
        <w:rPr>
          <w:sz w:val="18"/>
          <w:szCs w:val="18"/>
        </w:rPr>
      </w:pPr>
    </w:p>
    <w:p w14:paraId="6C3D6A71" w14:textId="77777777" w:rsidR="009B7955" w:rsidRPr="000A4B83" w:rsidRDefault="009B7955" w:rsidP="009B7955">
      <w:pPr>
        <w:spacing w:after="0" w:line="240" w:lineRule="auto"/>
        <w:rPr>
          <w:rFonts w:ascii="Calibri" w:hAnsi="Calibri" w:cs="Calibri"/>
          <w:noProof/>
          <w:sz w:val="18"/>
          <w:szCs w:val="18"/>
        </w:rPr>
      </w:pPr>
      <w:r w:rsidRPr="000A4B83">
        <w:rPr>
          <w:rFonts w:ascii="Calibri" w:hAnsi="Calibri" w:cs="Calibri"/>
          <w:noProof/>
          <w:sz w:val="18"/>
          <w:szCs w:val="18"/>
        </w:rPr>
        <w:t xml:space="preserve">Hubbard, P. and Prior, J. (2018) ‘Law, pliability and the multicultural city: Documenting planning law in action’, </w:t>
      </w:r>
      <w:r w:rsidRPr="000A4B83">
        <w:rPr>
          <w:rFonts w:ascii="Calibri" w:hAnsi="Calibri" w:cs="Calibri"/>
          <w:i/>
          <w:iCs/>
          <w:noProof/>
          <w:sz w:val="18"/>
          <w:szCs w:val="18"/>
        </w:rPr>
        <w:t>Geographical Journal</w:t>
      </w:r>
      <w:r w:rsidRPr="000A4B83">
        <w:rPr>
          <w:rFonts w:ascii="Calibri" w:hAnsi="Calibri" w:cs="Calibri"/>
          <w:noProof/>
          <w:sz w:val="18"/>
          <w:szCs w:val="18"/>
        </w:rPr>
        <w:t>, 184(1), pp. 53–63. doi: 10.1111/geoj.12212</w:t>
      </w:r>
    </w:p>
    <w:p w14:paraId="0B295BD4" w14:textId="77777777" w:rsidR="009B7955" w:rsidRPr="000A4B83" w:rsidRDefault="009B7955" w:rsidP="009B7955">
      <w:pPr>
        <w:spacing w:after="0" w:line="240" w:lineRule="auto"/>
        <w:rPr>
          <w:rFonts w:ascii="Calibri" w:hAnsi="Calibri" w:cs="Calibri"/>
          <w:noProof/>
          <w:sz w:val="18"/>
          <w:szCs w:val="18"/>
        </w:rPr>
      </w:pPr>
    </w:p>
    <w:p w14:paraId="4CB48159" w14:textId="77777777" w:rsidR="009B7955" w:rsidRPr="000A4B83" w:rsidRDefault="009B7955" w:rsidP="009B7955">
      <w:pPr>
        <w:widowControl w:val="0"/>
        <w:autoSpaceDE w:val="0"/>
        <w:autoSpaceDN w:val="0"/>
        <w:adjustRightInd w:val="0"/>
        <w:spacing w:after="0" w:line="240" w:lineRule="auto"/>
        <w:rPr>
          <w:rFonts w:ascii="Calibri" w:hAnsi="Calibri" w:cs="Calibri"/>
          <w:noProof/>
          <w:sz w:val="18"/>
          <w:szCs w:val="18"/>
        </w:rPr>
      </w:pPr>
      <w:r w:rsidRPr="000A4B83">
        <w:rPr>
          <w:rFonts w:ascii="Calibri" w:hAnsi="Calibri" w:cs="Calibri"/>
          <w:noProof/>
          <w:sz w:val="18"/>
          <w:szCs w:val="18"/>
        </w:rPr>
        <w:t xml:space="preserve">Bennett, L. and Layard, A. (2015) ‘Legal Geography: Becoming Spatial Detectives’, </w:t>
      </w:r>
      <w:r w:rsidRPr="000A4B83">
        <w:rPr>
          <w:rFonts w:ascii="Calibri" w:hAnsi="Calibri" w:cs="Calibri"/>
          <w:i/>
          <w:iCs/>
          <w:noProof/>
          <w:sz w:val="18"/>
          <w:szCs w:val="18"/>
        </w:rPr>
        <w:t>Geography Compass</w:t>
      </w:r>
      <w:r w:rsidRPr="000A4B83">
        <w:rPr>
          <w:rFonts w:ascii="Calibri" w:hAnsi="Calibri" w:cs="Calibri"/>
          <w:noProof/>
          <w:sz w:val="18"/>
          <w:szCs w:val="18"/>
        </w:rPr>
        <w:t>, 7, pp. 406–422.</w:t>
      </w:r>
    </w:p>
    <w:p w14:paraId="43D3090D" w14:textId="77777777" w:rsidR="009B7955" w:rsidRDefault="009B7955" w:rsidP="009B7955">
      <w:pPr>
        <w:spacing w:after="0" w:line="240" w:lineRule="auto"/>
        <w:rPr>
          <w:rFonts w:ascii="Calibri" w:hAnsi="Calibri" w:cs="Calibri"/>
          <w:noProof/>
          <w:szCs w:val="24"/>
        </w:rPr>
      </w:pPr>
    </w:p>
    <w:p w14:paraId="3541C575" w14:textId="2595C7AF" w:rsidR="00966C8C" w:rsidRPr="00175F01" w:rsidRDefault="00966C8C" w:rsidP="00966C8C">
      <w:pPr>
        <w:spacing w:after="0" w:line="240" w:lineRule="auto"/>
        <w:ind w:left="720" w:hanging="720"/>
        <w:rPr>
          <w:lang w:val="es-ES"/>
        </w:rPr>
      </w:pPr>
      <w:r>
        <w:rPr>
          <w:lang w:val="es-ES"/>
        </w:rPr>
        <w:t>3.</w:t>
      </w:r>
      <w:r>
        <w:rPr>
          <w:lang w:val="es-ES"/>
        </w:rPr>
        <w:t>2</w:t>
      </w:r>
      <w:r>
        <w:rPr>
          <w:lang w:val="es-ES"/>
        </w:rPr>
        <w:tab/>
      </w:r>
      <w:r>
        <w:rPr>
          <w:b/>
          <w:lang w:val="es-ES"/>
        </w:rPr>
        <w:t>2da</w:t>
      </w:r>
      <w:r w:rsidRPr="000A4B83">
        <w:rPr>
          <w:b/>
          <w:lang w:val="es-ES"/>
        </w:rPr>
        <w:t xml:space="preserve"> Unidad: Derechos en la Ciudad: Derecho de Propiedad y Derechos a la </w:t>
      </w:r>
      <w:r>
        <w:rPr>
          <w:b/>
          <w:lang w:val="es-ES"/>
        </w:rPr>
        <w:t>ciudad</w:t>
      </w:r>
      <w:r>
        <w:rPr>
          <w:lang w:val="es-ES"/>
        </w:rPr>
        <w:t>,</w:t>
      </w:r>
      <w:r w:rsidRPr="00041BAB">
        <w:rPr>
          <w:b/>
          <w:bCs/>
          <w:lang w:val="es-ES"/>
        </w:rPr>
        <w:t xml:space="preserve"> en el contexto de la nueva Constitución</w:t>
      </w:r>
    </w:p>
    <w:p w14:paraId="3740E27C" w14:textId="77777777" w:rsidR="00966C8C" w:rsidRPr="00175F01" w:rsidRDefault="00966C8C" w:rsidP="00966C8C">
      <w:pPr>
        <w:spacing w:after="0" w:line="240" w:lineRule="auto"/>
        <w:rPr>
          <w:lang w:val="es-ES"/>
        </w:rPr>
      </w:pPr>
    </w:p>
    <w:p w14:paraId="4F3D85BD" w14:textId="77777777" w:rsidR="00966C8C" w:rsidRPr="00175F01" w:rsidRDefault="00966C8C" w:rsidP="00966C8C">
      <w:pPr>
        <w:spacing w:after="0" w:line="240" w:lineRule="auto"/>
        <w:rPr>
          <w:lang w:val="es-ES"/>
        </w:rPr>
      </w:pPr>
      <w:r w:rsidRPr="00175F01">
        <w:rPr>
          <w:lang w:val="es-ES"/>
        </w:rPr>
        <w:t>Esta unidad profundizará respecto a dos conceptos fundamentales para entender los intereses de distintos actores concepto de Derecho a la ciudad, sus desafíos e implicancias para ejercerlo en Chile.</w:t>
      </w:r>
    </w:p>
    <w:p w14:paraId="06408392" w14:textId="77777777" w:rsidR="00966C8C" w:rsidRPr="00175F01" w:rsidRDefault="00966C8C" w:rsidP="00966C8C">
      <w:pPr>
        <w:spacing w:after="0" w:line="240" w:lineRule="auto"/>
        <w:rPr>
          <w:lang w:val="es-ES"/>
        </w:rPr>
      </w:pPr>
      <w:r w:rsidRPr="00175F01">
        <w:rPr>
          <w:lang w:val="es-ES"/>
        </w:rPr>
        <w:t>Intentando responder a las siguientes interrogantes:</w:t>
      </w:r>
    </w:p>
    <w:p w14:paraId="74043EB2" w14:textId="77777777" w:rsidR="00966C8C" w:rsidRPr="00175F01" w:rsidRDefault="00966C8C" w:rsidP="00966C8C">
      <w:pPr>
        <w:spacing w:after="0" w:line="240" w:lineRule="auto"/>
        <w:rPr>
          <w:lang w:val="es-ES"/>
        </w:rPr>
      </w:pPr>
    </w:p>
    <w:p w14:paraId="61E61784" w14:textId="77777777" w:rsidR="00966C8C" w:rsidRDefault="00966C8C" w:rsidP="00966C8C">
      <w:pPr>
        <w:spacing w:after="0" w:line="240" w:lineRule="auto"/>
        <w:rPr>
          <w:lang w:val="es-ES"/>
        </w:rPr>
      </w:pPr>
      <w:r>
        <w:rPr>
          <w:lang w:val="es-ES"/>
        </w:rPr>
        <w:t>Clase 5:</w:t>
      </w:r>
      <w:r>
        <w:rPr>
          <w:lang w:val="es-ES"/>
        </w:rPr>
        <w:tab/>
      </w:r>
      <w:r>
        <w:rPr>
          <w:lang w:val="es-ES"/>
        </w:rPr>
        <w:tab/>
        <w:t>Derecho a la propiedad privada, significado en la ciudad</w:t>
      </w:r>
    </w:p>
    <w:p w14:paraId="53210FAC" w14:textId="77777777" w:rsidR="00966C8C" w:rsidRDefault="00966C8C" w:rsidP="00966C8C">
      <w:pPr>
        <w:spacing w:after="0" w:line="240" w:lineRule="auto"/>
        <w:rPr>
          <w:lang w:val="es-ES"/>
        </w:rPr>
      </w:pPr>
    </w:p>
    <w:p w14:paraId="366328D4" w14:textId="77777777" w:rsidR="00966C8C" w:rsidRDefault="00966C8C" w:rsidP="00966C8C">
      <w:pPr>
        <w:spacing w:after="0" w:line="240" w:lineRule="auto"/>
        <w:rPr>
          <w:lang w:val="es-ES"/>
        </w:rPr>
      </w:pPr>
      <w:r>
        <w:rPr>
          <w:lang w:val="es-ES"/>
        </w:rPr>
        <w:t>Clase 6:</w:t>
      </w:r>
      <w:r>
        <w:rPr>
          <w:lang w:val="es-ES"/>
        </w:rPr>
        <w:tab/>
      </w:r>
      <w:r>
        <w:rPr>
          <w:lang w:val="es-ES"/>
        </w:rPr>
        <w:tab/>
        <w:t>Derecho a la ciudad, conceptualización</w:t>
      </w:r>
    </w:p>
    <w:p w14:paraId="152223B6" w14:textId="77777777" w:rsidR="00966C8C" w:rsidRDefault="00966C8C" w:rsidP="00966C8C">
      <w:pPr>
        <w:spacing w:after="0" w:line="240" w:lineRule="auto"/>
        <w:rPr>
          <w:lang w:val="es-ES"/>
        </w:rPr>
      </w:pPr>
    </w:p>
    <w:p w14:paraId="59C0B6A9" w14:textId="71D8BA6D" w:rsidR="00966C8C" w:rsidRDefault="00966C8C" w:rsidP="00966C8C">
      <w:pPr>
        <w:spacing w:after="0" w:line="240" w:lineRule="auto"/>
        <w:rPr>
          <w:lang w:val="es-ES"/>
        </w:rPr>
      </w:pPr>
      <w:r>
        <w:rPr>
          <w:lang w:val="es-ES"/>
        </w:rPr>
        <w:t>Clase 7:</w:t>
      </w:r>
      <w:r>
        <w:rPr>
          <w:lang w:val="es-ES"/>
        </w:rPr>
        <w:tab/>
      </w:r>
      <w:r>
        <w:rPr>
          <w:lang w:val="es-ES"/>
        </w:rPr>
        <w:tab/>
        <w:t>Debate: derechos en disputa en la ciudad</w:t>
      </w:r>
      <w:r>
        <w:rPr>
          <w:lang w:val="es-ES"/>
        </w:rPr>
        <w:t xml:space="preserve"> y la Constitución.</w:t>
      </w:r>
    </w:p>
    <w:p w14:paraId="512C5E6A" w14:textId="77777777" w:rsidR="00966C8C" w:rsidRDefault="00966C8C" w:rsidP="00966C8C">
      <w:pPr>
        <w:spacing w:after="0" w:line="240" w:lineRule="auto"/>
        <w:rPr>
          <w:lang w:val="es-ES"/>
        </w:rPr>
      </w:pPr>
    </w:p>
    <w:p w14:paraId="2E2EED5D" w14:textId="7EBEDC42" w:rsidR="00966C8C" w:rsidRDefault="00966C8C" w:rsidP="00966C8C">
      <w:pPr>
        <w:spacing w:after="0" w:line="240" w:lineRule="auto"/>
        <w:ind w:left="1440" w:hanging="1440"/>
        <w:rPr>
          <w:lang w:val="es-ES"/>
        </w:rPr>
      </w:pPr>
      <w:r>
        <w:rPr>
          <w:lang w:val="es-ES"/>
        </w:rPr>
        <w:t>Clase 8:</w:t>
      </w:r>
      <w:r>
        <w:rPr>
          <w:lang w:val="es-ES"/>
        </w:rPr>
        <w:tab/>
        <w:t xml:space="preserve">Actores de Planificación Urbana y el Derecho. </w:t>
      </w:r>
      <w:r>
        <w:rPr>
          <w:lang w:val="es-ES"/>
        </w:rPr>
        <w:t>¿</w:t>
      </w:r>
      <w:r>
        <w:rPr>
          <w:lang w:val="es-ES"/>
        </w:rPr>
        <w:t>Qu</w:t>
      </w:r>
      <w:r>
        <w:rPr>
          <w:lang w:val="es-ES"/>
        </w:rPr>
        <w:t>é</w:t>
      </w:r>
      <w:r>
        <w:rPr>
          <w:lang w:val="es-ES"/>
        </w:rPr>
        <w:t xml:space="preserve"> implica el derecho de propiedad y la ciudad en acción?</w:t>
      </w:r>
    </w:p>
    <w:p w14:paraId="15C5C2A5" w14:textId="77777777" w:rsidR="009B7955" w:rsidRPr="00966C8C" w:rsidRDefault="009B7955" w:rsidP="00175F01">
      <w:pPr>
        <w:spacing w:after="0" w:line="240" w:lineRule="auto"/>
        <w:rPr>
          <w:lang w:val="es-CL"/>
        </w:rPr>
      </w:pPr>
    </w:p>
    <w:p w14:paraId="3E025DD0" w14:textId="5FDA4A5F" w:rsidR="00175F01" w:rsidRPr="0025498E" w:rsidRDefault="00175F01" w:rsidP="00966C8C">
      <w:pPr>
        <w:spacing w:after="0" w:line="240" w:lineRule="auto"/>
        <w:rPr>
          <w:b/>
          <w:lang w:val="es-ES"/>
        </w:rPr>
      </w:pPr>
      <w:r>
        <w:rPr>
          <w:lang w:val="es-ES"/>
        </w:rPr>
        <w:t>3</w:t>
      </w:r>
      <w:r w:rsidR="00966C8C">
        <w:rPr>
          <w:lang w:val="es-ES"/>
        </w:rPr>
        <w:t>.3</w:t>
      </w:r>
      <w:r w:rsidR="00966C8C">
        <w:rPr>
          <w:lang w:val="es-ES"/>
        </w:rPr>
        <w:tab/>
        <w:t>Tercera Unidad:</w:t>
      </w:r>
      <w:r w:rsidRPr="0025498E">
        <w:rPr>
          <w:b/>
          <w:i/>
          <w:lang w:val="es-ES"/>
        </w:rPr>
        <w:t xml:space="preserve"> </w:t>
      </w:r>
      <w:r w:rsidR="00966C8C">
        <w:rPr>
          <w:b/>
          <w:i/>
          <w:lang w:val="es-ES"/>
        </w:rPr>
        <w:t xml:space="preserve">Regulación de la </w:t>
      </w:r>
      <w:r w:rsidRPr="0025498E">
        <w:rPr>
          <w:b/>
          <w:i/>
          <w:lang w:val="es-ES"/>
        </w:rPr>
        <w:t>Planificación Urbana</w:t>
      </w:r>
      <w:r w:rsidR="00966C8C">
        <w:rPr>
          <w:b/>
          <w:i/>
          <w:lang w:val="es-ES"/>
        </w:rPr>
        <w:t xml:space="preserve"> y de la Ciudad</w:t>
      </w:r>
    </w:p>
    <w:p w14:paraId="7BD5CEA0" w14:textId="77777777" w:rsidR="00175F01" w:rsidRPr="00175F01" w:rsidRDefault="00175F01" w:rsidP="00175F01">
      <w:pPr>
        <w:spacing w:after="0" w:line="240" w:lineRule="auto"/>
        <w:rPr>
          <w:lang w:val="es-ES"/>
        </w:rPr>
      </w:pPr>
    </w:p>
    <w:p w14:paraId="5464CDB4" w14:textId="7D0FBE2E" w:rsidR="00175F01" w:rsidRPr="00175F01" w:rsidRDefault="00175F01" w:rsidP="00175F01">
      <w:pPr>
        <w:spacing w:after="0" w:line="240" w:lineRule="auto"/>
        <w:rPr>
          <w:lang w:val="es-ES"/>
        </w:rPr>
      </w:pPr>
      <w:r w:rsidRPr="00175F01">
        <w:rPr>
          <w:lang w:val="es-ES"/>
        </w:rPr>
        <w:t xml:space="preserve">En </w:t>
      </w:r>
      <w:proofErr w:type="gramStart"/>
      <w:r w:rsidRPr="00175F01">
        <w:rPr>
          <w:lang w:val="es-ES"/>
        </w:rPr>
        <w:t xml:space="preserve">la </w:t>
      </w:r>
      <w:r w:rsidR="00966C8C">
        <w:rPr>
          <w:lang w:val="es-ES"/>
        </w:rPr>
        <w:t xml:space="preserve"> </w:t>
      </w:r>
      <w:proofErr w:type="spellStart"/>
      <w:r w:rsidR="00966C8C">
        <w:rPr>
          <w:lang w:val="es-ES"/>
        </w:rPr>
        <w:t>tercera</w:t>
      </w:r>
      <w:r w:rsidRPr="00175F01">
        <w:rPr>
          <w:lang w:val="es-ES"/>
        </w:rPr>
        <w:t>unidad</w:t>
      </w:r>
      <w:proofErr w:type="spellEnd"/>
      <w:proofErr w:type="gramEnd"/>
      <w:r w:rsidRPr="00175F01">
        <w:rPr>
          <w:lang w:val="es-ES"/>
        </w:rPr>
        <w:t xml:space="preserve"> se </w:t>
      </w:r>
      <w:r w:rsidR="00144844">
        <w:rPr>
          <w:lang w:val="es-ES"/>
        </w:rPr>
        <w:t>analizará y discutirá</w:t>
      </w:r>
      <w:r w:rsidRPr="00175F01">
        <w:rPr>
          <w:lang w:val="es-ES"/>
        </w:rPr>
        <w:t xml:space="preserve"> </w:t>
      </w:r>
      <w:r w:rsidR="00144844">
        <w:rPr>
          <w:lang w:val="es-ES"/>
        </w:rPr>
        <w:t>que es el derecho urbanístico y la importancia en la constitución de las ciudades</w:t>
      </w:r>
      <w:r w:rsidR="009B7955">
        <w:rPr>
          <w:lang w:val="es-ES"/>
        </w:rPr>
        <w:t>, a propósito de la geografía legal</w:t>
      </w:r>
      <w:r w:rsidR="00144844">
        <w:rPr>
          <w:lang w:val="es-ES"/>
        </w:rPr>
        <w:t xml:space="preserve">. </w:t>
      </w:r>
      <w:r w:rsidRPr="00175F01">
        <w:rPr>
          <w:lang w:val="es-ES"/>
        </w:rPr>
        <w:t>Al mismo tiempo, se ofrecerá una comparación con distintos sistemas internacionales de regulación de planificación urbana y sus mecanismos en temas como transporte, participación, vivienda social y densificación.</w:t>
      </w:r>
      <w:r w:rsidR="00144844">
        <w:rPr>
          <w:lang w:val="es-ES"/>
        </w:rPr>
        <w:t xml:space="preserve"> Se pretende revisar, para el caso chileno</w:t>
      </w:r>
      <w:r w:rsidR="00144844" w:rsidRPr="00175F01">
        <w:rPr>
          <w:lang w:val="es-ES"/>
        </w:rPr>
        <w:t xml:space="preserve"> estructura normativa aplicable al territorio, identificando los actores, instituciones y sus atribuciones normativas y presupuestarias.</w:t>
      </w:r>
    </w:p>
    <w:p w14:paraId="0ECB5D0C" w14:textId="77777777" w:rsidR="00175F01" w:rsidRDefault="00175F01" w:rsidP="00175F01">
      <w:pPr>
        <w:spacing w:after="0" w:line="240" w:lineRule="auto"/>
        <w:ind w:firstLine="720"/>
        <w:rPr>
          <w:lang w:val="es-ES"/>
        </w:rPr>
      </w:pPr>
    </w:p>
    <w:p w14:paraId="2ABD5B0B" w14:textId="6074E8CC" w:rsidR="00175F01" w:rsidRDefault="00144844" w:rsidP="003E00CA">
      <w:pPr>
        <w:spacing w:after="0" w:line="240" w:lineRule="auto"/>
        <w:rPr>
          <w:lang w:val="es-ES"/>
        </w:rPr>
      </w:pPr>
      <w:r>
        <w:rPr>
          <w:lang w:val="es-ES"/>
        </w:rPr>
        <w:t xml:space="preserve">Clase </w:t>
      </w:r>
      <w:r w:rsidR="00966C8C">
        <w:rPr>
          <w:lang w:val="es-ES"/>
        </w:rPr>
        <w:t>9</w:t>
      </w:r>
      <w:r>
        <w:rPr>
          <w:lang w:val="es-ES"/>
        </w:rPr>
        <w:t xml:space="preserve">: </w:t>
      </w:r>
      <w:r>
        <w:rPr>
          <w:lang w:val="es-ES"/>
        </w:rPr>
        <w:tab/>
      </w:r>
      <w:r w:rsidR="00175F01">
        <w:rPr>
          <w:lang w:val="es-ES"/>
        </w:rPr>
        <w:t xml:space="preserve">Introducción a la </w:t>
      </w:r>
      <w:r w:rsidR="00966C8C">
        <w:rPr>
          <w:lang w:val="es-ES"/>
        </w:rPr>
        <w:t xml:space="preserve">regulación de la </w:t>
      </w:r>
      <w:r w:rsidR="00175F01">
        <w:rPr>
          <w:lang w:val="es-ES"/>
        </w:rPr>
        <w:t>planificación urbana, siglo XX</w:t>
      </w:r>
    </w:p>
    <w:p w14:paraId="3D5A8BFD" w14:textId="5625C820" w:rsidR="00144844" w:rsidRDefault="00144844" w:rsidP="00041BAB">
      <w:pPr>
        <w:spacing w:after="0" w:line="240" w:lineRule="auto"/>
        <w:ind w:left="1440"/>
        <w:rPr>
          <w:lang w:val="es-ES"/>
        </w:rPr>
      </w:pPr>
      <w:r>
        <w:rPr>
          <w:lang w:val="es-ES"/>
        </w:rPr>
        <w:t>Exposición de que es la planificación urbana</w:t>
      </w:r>
      <w:r w:rsidR="00041BAB">
        <w:rPr>
          <w:lang w:val="es-ES"/>
        </w:rPr>
        <w:t xml:space="preserve"> y su relación con el Derecho</w:t>
      </w:r>
      <w:r>
        <w:rPr>
          <w:lang w:val="es-ES"/>
        </w:rPr>
        <w:t>, su historia y principales desafíos.</w:t>
      </w:r>
    </w:p>
    <w:p w14:paraId="55B93E54" w14:textId="77777777" w:rsidR="00144844" w:rsidRDefault="00144844" w:rsidP="003E00CA">
      <w:pPr>
        <w:spacing w:after="0" w:line="240" w:lineRule="auto"/>
        <w:rPr>
          <w:lang w:val="es-ES"/>
        </w:rPr>
      </w:pPr>
    </w:p>
    <w:p w14:paraId="6BA2D193" w14:textId="75D61FD9" w:rsidR="00966C8C" w:rsidRDefault="00966C8C" w:rsidP="00966C8C">
      <w:pPr>
        <w:spacing w:after="0" w:line="240" w:lineRule="auto"/>
        <w:rPr>
          <w:lang w:val="es-ES"/>
        </w:rPr>
      </w:pPr>
      <w:r>
        <w:rPr>
          <w:lang w:val="es-ES"/>
        </w:rPr>
        <w:t>Clase 1</w:t>
      </w:r>
      <w:r>
        <w:rPr>
          <w:lang w:val="es-ES"/>
        </w:rPr>
        <w:t>0</w:t>
      </w:r>
      <w:r>
        <w:rPr>
          <w:lang w:val="es-ES"/>
        </w:rPr>
        <w:t>:</w:t>
      </w:r>
      <w:r>
        <w:rPr>
          <w:lang w:val="es-ES"/>
        </w:rPr>
        <w:tab/>
        <w:t>Principales Instituciones del Derecho Urbanístico en Chile</w:t>
      </w:r>
    </w:p>
    <w:p w14:paraId="604EDAFA" w14:textId="77777777" w:rsidR="00966C8C" w:rsidRDefault="00966C8C" w:rsidP="00966C8C">
      <w:pPr>
        <w:spacing w:after="0" w:line="240" w:lineRule="auto"/>
        <w:rPr>
          <w:lang w:val="es-ES"/>
        </w:rPr>
      </w:pPr>
    </w:p>
    <w:p w14:paraId="4C339C49" w14:textId="166BB9B3" w:rsidR="00966C8C" w:rsidRDefault="00966C8C" w:rsidP="00966C8C">
      <w:pPr>
        <w:spacing w:after="0" w:line="240" w:lineRule="auto"/>
        <w:rPr>
          <w:lang w:val="es-ES"/>
        </w:rPr>
      </w:pPr>
      <w:r>
        <w:rPr>
          <w:lang w:val="es-ES"/>
        </w:rPr>
        <w:t xml:space="preserve">Clase </w:t>
      </w:r>
      <w:r>
        <w:rPr>
          <w:lang w:val="es-ES"/>
        </w:rPr>
        <w:t>11</w:t>
      </w:r>
      <w:r>
        <w:rPr>
          <w:lang w:val="es-ES"/>
        </w:rPr>
        <w:t>:</w:t>
      </w:r>
      <w:r>
        <w:rPr>
          <w:lang w:val="es-ES"/>
        </w:rPr>
        <w:tab/>
        <w:t>Revisión crítica de la Ley General de Urbanismo y Construcciones y su Ordenanza</w:t>
      </w:r>
    </w:p>
    <w:p w14:paraId="72FF72D6" w14:textId="77777777" w:rsidR="00966C8C" w:rsidRDefault="00966C8C" w:rsidP="00966C8C">
      <w:pPr>
        <w:spacing w:after="0" w:line="240" w:lineRule="auto"/>
        <w:rPr>
          <w:lang w:val="es-ES"/>
        </w:rPr>
      </w:pPr>
    </w:p>
    <w:p w14:paraId="4CE55F2C" w14:textId="382937FF" w:rsidR="00966C8C" w:rsidRDefault="00966C8C" w:rsidP="00966C8C">
      <w:pPr>
        <w:spacing w:after="0" w:line="240" w:lineRule="auto"/>
        <w:rPr>
          <w:lang w:val="es-ES"/>
        </w:rPr>
      </w:pPr>
      <w:r>
        <w:rPr>
          <w:lang w:val="es-ES"/>
        </w:rPr>
        <w:t xml:space="preserve">Clase </w:t>
      </w:r>
      <w:r>
        <w:rPr>
          <w:lang w:val="es-ES"/>
        </w:rPr>
        <w:t>12</w:t>
      </w:r>
      <w:r>
        <w:rPr>
          <w:lang w:val="es-ES"/>
        </w:rPr>
        <w:t>:</w:t>
      </w:r>
      <w:r>
        <w:rPr>
          <w:lang w:val="es-ES"/>
        </w:rPr>
        <w:tab/>
        <w:t>Proceso de Planificación</w:t>
      </w:r>
      <w:r>
        <w:rPr>
          <w:lang w:val="es-ES"/>
        </w:rPr>
        <w:t xml:space="preserve"> Comparado. </w:t>
      </w:r>
    </w:p>
    <w:p w14:paraId="1680F653" w14:textId="77777777" w:rsidR="00966C8C" w:rsidRDefault="00966C8C" w:rsidP="00966C8C">
      <w:pPr>
        <w:spacing w:after="0" w:line="240" w:lineRule="auto"/>
        <w:rPr>
          <w:lang w:val="es-ES"/>
        </w:rPr>
      </w:pPr>
    </w:p>
    <w:p w14:paraId="54C53F4F" w14:textId="4C27EBFA" w:rsidR="00966C8C" w:rsidRDefault="00966C8C" w:rsidP="00966C8C">
      <w:pPr>
        <w:spacing w:after="0" w:line="240" w:lineRule="auto"/>
        <w:rPr>
          <w:lang w:val="es-ES"/>
        </w:rPr>
      </w:pPr>
      <w:r>
        <w:rPr>
          <w:lang w:val="es-ES"/>
        </w:rPr>
        <w:t xml:space="preserve">Clase </w:t>
      </w:r>
      <w:r>
        <w:rPr>
          <w:lang w:val="es-ES"/>
        </w:rPr>
        <w:t>13</w:t>
      </w:r>
      <w:r>
        <w:rPr>
          <w:lang w:val="es-ES"/>
        </w:rPr>
        <w:t>:</w:t>
      </w:r>
      <w:r>
        <w:rPr>
          <w:lang w:val="es-ES"/>
        </w:rPr>
        <w:tab/>
      </w:r>
      <w:r>
        <w:rPr>
          <w:lang w:val="es-ES"/>
        </w:rPr>
        <w:t>I</w:t>
      </w:r>
      <w:r>
        <w:rPr>
          <w:lang w:val="es-ES"/>
        </w:rPr>
        <w:t>nstitucionalidad urbana de ciudades y sus normas urbanísticas.</w:t>
      </w:r>
    </w:p>
    <w:p w14:paraId="7DD7A441" w14:textId="77777777" w:rsidR="00966C8C" w:rsidRDefault="00966C8C" w:rsidP="00966C8C">
      <w:pPr>
        <w:spacing w:after="0" w:line="240" w:lineRule="auto"/>
        <w:rPr>
          <w:lang w:val="es-ES"/>
        </w:rPr>
      </w:pPr>
    </w:p>
    <w:p w14:paraId="0251A66E" w14:textId="7B14CF5A" w:rsidR="00175F01" w:rsidRPr="00966C8C" w:rsidRDefault="00966C8C" w:rsidP="00175F01">
      <w:pPr>
        <w:spacing w:after="0" w:line="240" w:lineRule="auto"/>
        <w:rPr>
          <w:lang w:val="es-ES"/>
        </w:rPr>
      </w:pPr>
      <w:r>
        <w:rPr>
          <w:lang w:val="es-ES"/>
        </w:rPr>
        <w:t xml:space="preserve">Clase 14: </w:t>
      </w:r>
      <w:r>
        <w:rPr>
          <w:lang w:val="es-ES"/>
        </w:rPr>
        <w:tab/>
      </w:r>
      <w:r>
        <w:rPr>
          <w:lang w:val="es-ES"/>
        </w:rPr>
        <w:t>Revisión Crítica del sistema de planificación urbana en Chile: el caso de Estación Central.</w:t>
      </w:r>
    </w:p>
    <w:p w14:paraId="2D26E284" w14:textId="77777777" w:rsidR="0025498E" w:rsidRDefault="0025498E" w:rsidP="00175F01">
      <w:pPr>
        <w:spacing w:after="0" w:line="240" w:lineRule="auto"/>
        <w:rPr>
          <w:lang w:val="es-ES"/>
        </w:rPr>
      </w:pPr>
    </w:p>
    <w:p w14:paraId="47CCBD4A" w14:textId="1FEEF9E6" w:rsidR="00B859A5" w:rsidRDefault="0025498E" w:rsidP="0025498E">
      <w:pPr>
        <w:spacing w:after="0" w:line="240" w:lineRule="auto"/>
        <w:ind w:left="1440" w:hanging="1440"/>
        <w:rPr>
          <w:lang w:val="es-ES"/>
        </w:rPr>
      </w:pPr>
      <w:r>
        <w:rPr>
          <w:lang w:val="es-ES"/>
        </w:rPr>
        <w:t xml:space="preserve">Clase </w:t>
      </w:r>
      <w:r w:rsidR="009B7955">
        <w:rPr>
          <w:lang w:val="es-ES"/>
        </w:rPr>
        <w:t>1</w:t>
      </w:r>
      <w:r w:rsidR="00966C8C">
        <w:rPr>
          <w:lang w:val="es-ES"/>
        </w:rPr>
        <w:t>5</w:t>
      </w:r>
      <w:r>
        <w:rPr>
          <w:lang w:val="es-ES"/>
        </w:rPr>
        <w:t>:</w:t>
      </w:r>
      <w:r>
        <w:rPr>
          <w:lang w:val="es-ES"/>
        </w:rPr>
        <w:tab/>
        <w:t xml:space="preserve">Análisis de casos concretos de planificación y la importancia de la Institucionalidad Urbana en sus resultados. </w:t>
      </w:r>
      <w:r w:rsidR="00B859A5">
        <w:rPr>
          <w:lang w:val="es-ES"/>
        </w:rPr>
        <w:t>Ejemplos en vivienda social, transporte, segregación</w:t>
      </w:r>
      <w:r>
        <w:rPr>
          <w:lang w:val="es-ES"/>
        </w:rPr>
        <w:t>, patrimonio</w:t>
      </w:r>
      <w:r w:rsidR="00B859A5">
        <w:rPr>
          <w:lang w:val="es-ES"/>
        </w:rPr>
        <w:t xml:space="preserve"> y procesos de planificación. </w:t>
      </w:r>
    </w:p>
    <w:p w14:paraId="1486A9D6" w14:textId="77777777" w:rsidR="00B859A5" w:rsidRPr="00175F01" w:rsidRDefault="00B859A5" w:rsidP="00175F01">
      <w:pPr>
        <w:spacing w:after="0" w:line="240" w:lineRule="auto"/>
        <w:rPr>
          <w:lang w:val="es-ES"/>
        </w:rPr>
      </w:pPr>
    </w:p>
    <w:p w14:paraId="0D2E2414" w14:textId="77777777" w:rsidR="00175F01" w:rsidRPr="0025498E" w:rsidRDefault="00175F01" w:rsidP="003E00CA">
      <w:pPr>
        <w:spacing w:after="0" w:line="240" w:lineRule="auto"/>
        <w:rPr>
          <w:sz w:val="18"/>
          <w:szCs w:val="18"/>
          <w:lang w:val="es-ES"/>
        </w:rPr>
      </w:pPr>
      <w:r w:rsidRPr="0025498E">
        <w:rPr>
          <w:sz w:val="18"/>
          <w:szCs w:val="18"/>
          <w:lang w:val="es-ES"/>
        </w:rPr>
        <w:t>Lecturas</w:t>
      </w:r>
      <w:r w:rsidR="0025498E" w:rsidRPr="0025498E">
        <w:rPr>
          <w:sz w:val="18"/>
          <w:szCs w:val="18"/>
          <w:lang w:val="es-ES"/>
        </w:rPr>
        <w:t>:</w:t>
      </w:r>
    </w:p>
    <w:p w14:paraId="3E2AC29F" w14:textId="57ADC7EB" w:rsidR="00175F01" w:rsidRDefault="00175F01" w:rsidP="00175F01">
      <w:pPr>
        <w:spacing w:after="0" w:line="240" w:lineRule="auto"/>
        <w:rPr>
          <w:lang w:val="es-ES"/>
        </w:rPr>
      </w:pPr>
    </w:p>
    <w:p w14:paraId="1154B557" w14:textId="77777777" w:rsidR="00966C8C" w:rsidRPr="0025498E" w:rsidRDefault="00966C8C" w:rsidP="00966C8C">
      <w:pPr>
        <w:spacing w:after="0" w:line="240" w:lineRule="auto"/>
        <w:ind w:firstLine="720"/>
        <w:rPr>
          <w:sz w:val="18"/>
          <w:szCs w:val="18"/>
          <w:lang w:val="es-ES"/>
        </w:rPr>
      </w:pPr>
    </w:p>
    <w:p w14:paraId="79BD7FF4" w14:textId="77777777" w:rsidR="00966C8C" w:rsidRPr="007664BD" w:rsidRDefault="00966C8C" w:rsidP="00966C8C">
      <w:pPr>
        <w:spacing w:after="0" w:line="240" w:lineRule="auto"/>
        <w:rPr>
          <w:sz w:val="18"/>
          <w:szCs w:val="18"/>
          <w:lang w:val="es-CL"/>
        </w:rPr>
      </w:pPr>
      <w:r w:rsidRPr="0025498E">
        <w:rPr>
          <w:sz w:val="18"/>
          <w:szCs w:val="18"/>
          <w:lang w:val="es-ES"/>
        </w:rPr>
        <w:t xml:space="preserve">Introducción: Una especie de neorrealismo jurídico, Antonio Azuela, en Azuela, A. (2016) La ciudad y sus reglas Sobre la huella del derecho en el orden urbano. </w:t>
      </w:r>
      <w:r w:rsidRPr="007664BD">
        <w:rPr>
          <w:sz w:val="18"/>
          <w:szCs w:val="18"/>
          <w:lang w:val="es-CL"/>
        </w:rPr>
        <w:t xml:space="preserve">1st </w:t>
      </w:r>
      <w:proofErr w:type="spellStart"/>
      <w:r w:rsidRPr="007664BD">
        <w:rPr>
          <w:sz w:val="18"/>
          <w:szCs w:val="18"/>
          <w:lang w:val="es-CL"/>
        </w:rPr>
        <w:t>edn</w:t>
      </w:r>
      <w:proofErr w:type="spellEnd"/>
      <w:r w:rsidRPr="007664BD">
        <w:rPr>
          <w:sz w:val="18"/>
          <w:szCs w:val="18"/>
          <w:lang w:val="es-CL"/>
        </w:rPr>
        <w:t>. Ciudad de México: UNAM, Instituto de Investigaciones Sociales.</w:t>
      </w:r>
    </w:p>
    <w:p w14:paraId="75E29A11" w14:textId="77777777" w:rsidR="00966C8C" w:rsidRPr="007664BD" w:rsidRDefault="00966C8C" w:rsidP="00966C8C">
      <w:pPr>
        <w:spacing w:after="0" w:line="240" w:lineRule="auto"/>
        <w:ind w:left="720"/>
        <w:rPr>
          <w:sz w:val="18"/>
          <w:szCs w:val="18"/>
          <w:lang w:val="es-CL"/>
        </w:rPr>
      </w:pPr>
    </w:p>
    <w:p w14:paraId="113D63B5" w14:textId="77777777" w:rsidR="00966C8C" w:rsidRPr="0025498E" w:rsidRDefault="00966C8C" w:rsidP="00966C8C">
      <w:pPr>
        <w:spacing w:after="0" w:line="240" w:lineRule="auto"/>
        <w:rPr>
          <w:rFonts w:ascii="Calibri" w:hAnsi="Calibri" w:cs="Calibri"/>
          <w:noProof/>
          <w:sz w:val="18"/>
          <w:szCs w:val="18"/>
        </w:rPr>
      </w:pPr>
      <w:r w:rsidRPr="0025498E">
        <w:rPr>
          <w:rFonts w:ascii="Calibri" w:hAnsi="Calibri" w:cs="Calibri"/>
          <w:noProof/>
          <w:sz w:val="18"/>
          <w:szCs w:val="18"/>
        </w:rPr>
        <w:t xml:space="preserve">McAuslan, P. (2013) ‘Towards a just planning system: The contribution of law’, </w:t>
      </w:r>
      <w:r w:rsidRPr="0025498E">
        <w:rPr>
          <w:rFonts w:ascii="Calibri" w:hAnsi="Calibri" w:cs="Calibri"/>
          <w:i/>
          <w:iCs/>
          <w:noProof/>
          <w:sz w:val="18"/>
          <w:szCs w:val="18"/>
        </w:rPr>
        <w:t>Journal of Planning and Environment Law</w:t>
      </w:r>
      <w:r w:rsidRPr="0025498E">
        <w:rPr>
          <w:rFonts w:ascii="Calibri" w:hAnsi="Calibri" w:cs="Calibri"/>
          <w:noProof/>
          <w:sz w:val="18"/>
          <w:szCs w:val="18"/>
        </w:rPr>
        <w:t>, (2), pp. 145–157</w:t>
      </w:r>
    </w:p>
    <w:p w14:paraId="7B26CF06" w14:textId="77777777" w:rsidR="00966C8C" w:rsidRDefault="00966C8C" w:rsidP="00966C8C">
      <w:pPr>
        <w:spacing w:after="0" w:line="240" w:lineRule="auto"/>
        <w:ind w:left="720"/>
        <w:rPr>
          <w:rFonts w:ascii="Calibri" w:hAnsi="Calibri" w:cs="Calibri"/>
          <w:noProof/>
          <w:szCs w:val="24"/>
        </w:rPr>
      </w:pPr>
    </w:p>
    <w:p w14:paraId="1AE102D5" w14:textId="77777777" w:rsidR="00966C8C" w:rsidRPr="0025498E" w:rsidRDefault="00966C8C" w:rsidP="00966C8C">
      <w:pPr>
        <w:widowControl w:val="0"/>
        <w:autoSpaceDE w:val="0"/>
        <w:autoSpaceDN w:val="0"/>
        <w:adjustRightInd w:val="0"/>
        <w:spacing w:after="0" w:line="240" w:lineRule="auto"/>
        <w:rPr>
          <w:rFonts w:ascii="Calibri" w:hAnsi="Calibri" w:cs="Calibri"/>
          <w:noProof/>
          <w:sz w:val="18"/>
          <w:szCs w:val="18"/>
        </w:rPr>
      </w:pPr>
      <w:r w:rsidRPr="0025498E">
        <w:rPr>
          <w:rFonts w:ascii="Calibri" w:hAnsi="Calibri" w:cs="Calibri"/>
          <w:noProof/>
          <w:sz w:val="18"/>
          <w:szCs w:val="18"/>
        </w:rPr>
        <w:t xml:space="preserve">Fainstein, S. (2000) ‘New Directions in Planning Theory’, </w:t>
      </w:r>
      <w:r w:rsidRPr="0025498E">
        <w:rPr>
          <w:rFonts w:ascii="Calibri" w:hAnsi="Calibri" w:cs="Calibri"/>
          <w:i/>
          <w:iCs/>
          <w:noProof/>
          <w:sz w:val="18"/>
          <w:szCs w:val="18"/>
        </w:rPr>
        <w:t>Urban Affairs Review</w:t>
      </w:r>
      <w:r w:rsidRPr="0025498E">
        <w:rPr>
          <w:rFonts w:ascii="Calibri" w:hAnsi="Calibri" w:cs="Calibri"/>
          <w:noProof/>
          <w:sz w:val="18"/>
          <w:szCs w:val="18"/>
        </w:rPr>
        <w:t>, 35(4), pp. 451–478. doi: 10.1177/107808740003500401.</w:t>
      </w:r>
    </w:p>
    <w:p w14:paraId="40DB5EE8" w14:textId="77777777" w:rsidR="00966C8C" w:rsidRPr="00966C8C" w:rsidRDefault="00966C8C" w:rsidP="00175F01">
      <w:pPr>
        <w:spacing w:after="0" w:line="240" w:lineRule="auto"/>
        <w:rPr>
          <w:b/>
          <w:bCs/>
        </w:rPr>
      </w:pPr>
    </w:p>
    <w:p w14:paraId="09791FD0" w14:textId="77777777" w:rsidR="00175F01" w:rsidRPr="0025498E" w:rsidRDefault="00175F01" w:rsidP="003E00CA">
      <w:pPr>
        <w:spacing w:after="0" w:line="240" w:lineRule="auto"/>
        <w:rPr>
          <w:sz w:val="18"/>
          <w:szCs w:val="18"/>
          <w:lang w:val="es-ES"/>
        </w:rPr>
      </w:pPr>
      <w:proofErr w:type="spellStart"/>
      <w:r w:rsidRPr="0025498E">
        <w:rPr>
          <w:sz w:val="18"/>
          <w:szCs w:val="18"/>
          <w:lang w:val="es-ES"/>
        </w:rPr>
        <w:t>Fernándes</w:t>
      </w:r>
      <w:proofErr w:type="spellEnd"/>
      <w:r w:rsidRPr="0025498E">
        <w:rPr>
          <w:sz w:val="18"/>
          <w:szCs w:val="18"/>
          <w:lang w:val="es-ES"/>
        </w:rPr>
        <w:t xml:space="preserve">, E. (2003) ‘Del Código Civil al Estatuto de la Ciudad: algunas notas sobre la trayectoria del Derecho Urbanístico en Brasil’, Eure, 29, pp. 63–78. </w:t>
      </w:r>
      <w:proofErr w:type="spellStart"/>
      <w:r w:rsidRPr="0025498E">
        <w:rPr>
          <w:sz w:val="18"/>
          <w:szCs w:val="18"/>
          <w:lang w:val="es-ES"/>
        </w:rPr>
        <w:t>doi</w:t>
      </w:r>
      <w:proofErr w:type="spellEnd"/>
      <w:r w:rsidRPr="0025498E">
        <w:rPr>
          <w:sz w:val="18"/>
          <w:szCs w:val="18"/>
          <w:lang w:val="es-ES"/>
        </w:rPr>
        <w:t>: 10.4067/S0250-71612003008700005.</w:t>
      </w:r>
    </w:p>
    <w:p w14:paraId="06C61E12" w14:textId="77777777" w:rsidR="00B859A5" w:rsidRPr="0025498E" w:rsidRDefault="00B859A5" w:rsidP="00B859A5">
      <w:pPr>
        <w:spacing w:after="0" w:line="240" w:lineRule="auto"/>
        <w:ind w:left="720"/>
        <w:rPr>
          <w:sz w:val="18"/>
          <w:szCs w:val="18"/>
          <w:lang w:val="es-ES"/>
        </w:rPr>
      </w:pPr>
    </w:p>
    <w:p w14:paraId="797C5228" w14:textId="77777777" w:rsidR="00B859A5" w:rsidRPr="0025498E" w:rsidRDefault="00B859A5" w:rsidP="003E00CA">
      <w:pPr>
        <w:widowControl w:val="0"/>
        <w:autoSpaceDE w:val="0"/>
        <w:autoSpaceDN w:val="0"/>
        <w:adjustRightInd w:val="0"/>
        <w:spacing w:after="0" w:line="240" w:lineRule="auto"/>
        <w:rPr>
          <w:rFonts w:ascii="Calibri" w:hAnsi="Calibri" w:cs="Calibri"/>
          <w:noProof/>
          <w:sz w:val="18"/>
          <w:szCs w:val="18"/>
        </w:rPr>
      </w:pPr>
      <w:r w:rsidRPr="0025498E">
        <w:rPr>
          <w:rFonts w:ascii="Calibri" w:hAnsi="Calibri" w:cs="Calibri"/>
          <w:noProof/>
          <w:sz w:val="18"/>
          <w:szCs w:val="18"/>
        </w:rPr>
        <w:t>Gil, D. (2013) ‘The Political Fragmentation of Land Use Governance in Santiago , Chile , and its Implications for Socioeconomic Residential Segregation’, (August), pp. 119–164.</w:t>
      </w:r>
    </w:p>
    <w:p w14:paraId="3168BC85" w14:textId="77777777" w:rsidR="00B859A5" w:rsidRPr="0025498E" w:rsidRDefault="00B859A5" w:rsidP="00B859A5">
      <w:pPr>
        <w:widowControl w:val="0"/>
        <w:autoSpaceDE w:val="0"/>
        <w:autoSpaceDN w:val="0"/>
        <w:adjustRightInd w:val="0"/>
        <w:spacing w:after="0" w:line="240" w:lineRule="auto"/>
        <w:ind w:left="720"/>
        <w:rPr>
          <w:rFonts w:ascii="Calibri" w:hAnsi="Calibri" w:cs="Calibri"/>
          <w:noProof/>
          <w:sz w:val="18"/>
          <w:szCs w:val="18"/>
        </w:rPr>
      </w:pPr>
    </w:p>
    <w:p w14:paraId="1A151B0D" w14:textId="77777777" w:rsidR="00B859A5" w:rsidRPr="007664BD" w:rsidRDefault="00B859A5" w:rsidP="003E00CA">
      <w:pPr>
        <w:widowControl w:val="0"/>
        <w:autoSpaceDE w:val="0"/>
        <w:autoSpaceDN w:val="0"/>
        <w:adjustRightInd w:val="0"/>
        <w:spacing w:after="0" w:line="240" w:lineRule="auto"/>
        <w:rPr>
          <w:rFonts w:ascii="Calibri" w:hAnsi="Calibri" w:cs="Calibri"/>
          <w:noProof/>
          <w:sz w:val="18"/>
          <w:szCs w:val="18"/>
        </w:rPr>
      </w:pPr>
      <w:r w:rsidRPr="0025498E">
        <w:rPr>
          <w:rFonts w:ascii="Calibri" w:hAnsi="Calibri" w:cs="Calibri"/>
          <w:noProof/>
          <w:sz w:val="18"/>
          <w:szCs w:val="18"/>
        </w:rPr>
        <w:t xml:space="preserve">Hall, P. (2014) </w:t>
      </w:r>
      <w:r w:rsidRPr="0025498E">
        <w:rPr>
          <w:rFonts w:ascii="Calibri" w:hAnsi="Calibri" w:cs="Calibri"/>
          <w:i/>
          <w:iCs/>
          <w:noProof/>
          <w:sz w:val="18"/>
          <w:szCs w:val="18"/>
        </w:rPr>
        <w:t>Cities of Tomorrow: an Intellectual History of Urban Planning and Design Since 1880</w:t>
      </w:r>
      <w:r w:rsidRPr="0025498E">
        <w:rPr>
          <w:rFonts w:ascii="Calibri" w:hAnsi="Calibri" w:cs="Calibri"/>
          <w:noProof/>
          <w:sz w:val="18"/>
          <w:szCs w:val="18"/>
        </w:rPr>
        <w:t xml:space="preserve">. </w:t>
      </w:r>
      <w:r w:rsidRPr="007664BD">
        <w:rPr>
          <w:rFonts w:ascii="Calibri" w:hAnsi="Calibri" w:cs="Calibri"/>
          <w:noProof/>
          <w:sz w:val="18"/>
          <w:szCs w:val="18"/>
        </w:rPr>
        <w:t>4th edn. Oxford: Wiley Blackwell. doi: 10.1007/BF00219324.</w:t>
      </w:r>
    </w:p>
    <w:p w14:paraId="36BB884E" w14:textId="77777777" w:rsidR="0025498E" w:rsidRPr="007664BD" w:rsidRDefault="0025498E" w:rsidP="003E00CA">
      <w:pPr>
        <w:widowControl w:val="0"/>
        <w:autoSpaceDE w:val="0"/>
        <w:autoSpaceDN w:val="0"/>
        <w:adjustRightInd w:val="0"/>
        <w:spacing w:after="0" w:line="240" w:lineRule="auto"/>
        <w:rPr>
          <w:rFonts w:ascii="Calibri" w:hAnsi="Calibri" w:cs="Calibri"/>
          <w:noProof/>
          <w:sz w:val="18"/>
          <w:szCs w:val="18"/>
        </w:rPr>
      </w:pPr>
    </w:p>
    <w:p w14:paraId="5368F638" w14:textId="77777777" w:rsidR="0025498E" w:rsidRPr="007664BD" w:rsidRDefault="0025498E" w:rsidP="0025498E">
      <w:pPr>
        <w:widowControl w:val="0"/>
        <w:autoSpaceDE w:val="0"/>
        <w:autoSpaceDN w:val="0"/>
        <w:adjustRightInd w:val="0"/>
        <w:spacing w:after="0" w:line="240" w:lineRule="auto"/>
        <w:rPr>
          <w:rFonts w:ascii="Calibri" w:hAnsi="Calibri" w:cs="Calibri"/>
          <w:noProof/>
          <w:sz w:val="18"/>
          <w:szCs w:val="18"/>
          <w:lang w:val="es-CL"/>
        </w:rPr>
      </w:pPr>
      <w:r w:rsidRPr="0025498E">
        <w:rPr>
          <w:rFonts w:ascii="Calibri" w:hAnsi="Calibri" w:cs="Calibri"/>
          <w:noProof/>
          <w:sz w:val="18"/>
          <w:szCs w:val="18"/>
        </w:rPr>
        <w:t xml:space="preserve">Talen, E. (2012) </w:t>
      </w:r>
      <w:r w:rsidRPr="0025498E">
        <w:rPr>
          <w:rFonts w:ascii="Calibri" w:hAnsi="Calibri" w:cs="Calibri"/>
          <w:i/>
          <w:iCs/>
          <w:noProof/>
          <w:sz w:val="18"/>
          <w:szCs w:val="18"/>
        </w:rPr>
        <w:t>City Rules: how regulations affect urban form</w:t>
      </w:r>
      <w:r w:rsidRPr="0025498E">
        <w:rPr>
          <w:rFonts w:ascii="Calibri" w:hAnsi="Calibri" w:cs="Calibri"/>
          <w:noProof/>
          <w:sz w:val="18"/>
          <w:szCs w:val="18"/>
        </w:rPr>
        <w:t xml:space="preserve">. </w:t>
      </w:r>
      <w:r w:rsidRPr="007664BD">
        <w:rPr>
          <w:rFonts w:ascii="Calibri" w:hAnsi="Calibri" w:cs="Calibri"/>
          <w:noProof/>
          <w:sz w:val="18"/>
          <w:szCs w:val="18"/>
          <w:lang w:val="es-CL"/>
        </w:rPr>
        <w:t>London: Island Press.</w:t>
      </w:r>
    </w:p>
    <w:p w14:paraId="08D2CEC1" w14:textId="77777777" w:rsidR="00175F01" w:rsidRPr="002F1EE3" w:rsidRDefault="00175F01" w:rsidP="00175F01">
      <w:pPr>
        <w:spacing w:after="0" w:line="240" w:lineRule="auto"/>
        <w:rPr>
          <w:sz w:val="18"/>
          <w:szCs w:val="18"/>
          <w:lang w:val="es-ES"/>
        </w:rPr>
      </w:pPr>
    </w:p>
    <w:p w14:paraId="08449F4E" w14:textId="45365D5A" w:rsidR="00175F01" w:rsidRPr="00966C8C" w:rsidRDefault="00175F01" w:rsidP="00175F01">
      <w:pPr>
        <w:spacing w:after="0" w:line="240" w:lineRule="auto"/>
        <w:rPr>
          <w:sz w:val="18"/>
          <w:szCs w:val="18"/>
          <w:lang w:val="es-ES"/>
        </w:rPr>
      </w:pPr>
      <w:proofErr w:type="spellStart"/>
      <w:r w:rsidRPr="002F1EE3">
        <w:rPr>
          <w:sz w:val="18"/>
          <w:szCs w:val="18"/>
          <w:lang w:val="es-ES"/>
        </w:rPr>
        <w:t>Rajevic</w:t>
      </w:r>
      <w:proofErr w:type="spellEnd"/>
      <w:r w:rsidRPr="002F1EE3">
        <w:rPr>
          <w:sz w:val="18"/>
          <w:szCs w:val="18"/>
          <w:lang w:val="es-ES"/>
        </w:rPr>
        <w:t xml:space="preserve">, E. (2010) ‘El paulatino pero insuficiente desarrollo del Derecho urbanístico en Chile: en tránsito de la adolescencia a la madurez’, Fórum de </w:t>
      </w:r>
      <w:proofErr w:type="spellStart"/>
      <w:r w:rsidRPr="002F1EE3">
        <w:rPr>
          <w:sz w:val="18"/>
          <w:szCs w:val="18"/>
          <w:lang w:val="es-ES"/>
        </w:rPr>
        <w:t>Direito</w:t>
      </w:r>
      <w:proofErr w:type="spellEnd"/>
      <w:r w:rsidRPr="002F1EE3">
        <w:rPr>
          <w:sz w:val="18"/>
          <w:szCs w:val="18"/>
          <w:lang w:val="es-ES"/>
        </w:rPr>
        <w:t xml:space="preserve"> Urbano e Ambiental, 9(54), pp. 61–70.</w:t>
      </w:r>
    </w:p>
    <w:p w14:paraId="6FEEA38E" w14:textId="77777777" w:rsidR="00F23485" w:rsidRPr="00966C8C" w:rsidRDefault="00F23485" w:rsidP="00175F01">
      <w:pPr>
        <w:spacing w:after="0" w:line="240" w:lineRule="auto"/>
        <w:rPr>
          <w:rFonts w:ascii="Calibri" w:hAnsi="Calibri" w:cs="Calibri"/>
          <w:noProof/>
          <w:szCs w:val="24"/>
          <w:lang w:val="es-CL"/>
        </w:rPr>
      </w:pPr>
    </w:p>
    <w:p w14:paraId="31057EF0" w14:textId="77777777" w:rsidR="00F23485" w:rsidRPr="00966C8C" w:rsidRDefault="00F23485" w:rsidP="00175F01">
      <w:pPr>
        <w:spacing w:after="0" w:line="240" w:lineRule="auto"/>
        <w:rPr>
          <w:lang w:val="es-CL"/>
        </w:rPr>
      </w:pPr>
    </w:p>
    <w:p w14:paraId="3AE39CDF" w14:textId="77777777" w:rsidR="00175F01" w:rsidRPr="000A4B83" w:rsidRDefault="008A396D" w:rsidP="00175F01">
      <w:pPr>
        <w:spacing w:after="0" w:line="240" w:lineRule="auto"/>
        <w:rPr>
          <w:b/>
          <w:lang w:val="es-ES"/>
        </w:rPr>
      </w:pPr>
      <w:r w:rsidRPr="000A4B83">
        <w:rPr>
          <w:b/>
          <w:lang w:val="es-ES"/>
        </w:rPr>
        <w:t>4.</w:t>
      </w:r>
      <w:r w:rsidRPr="000A4B83">
        <w:rPr>
          <w:b/>
          <w:lang w:val="es-ES"/>
        </w:rPr>
        <w:tab/>
      </w:r>
      <w:r w:rsidR="00175F01" w:rsidRPr="000A4B83">
        <w:rPr>
          <w:b/>
          <w:lang w:val="es-ES"/>
        </w:rPr>
        <w:t>Metodología:</w:t>
      </w:r>
      <w:r w:rsidR="00175F01" w:rsidRPr="000A4B83">
        <w:rPr>
          <w:b/>
          <w:lang w:val="es-ES"/>
        </w:rPr>
        <w:tab/>
      </w:r>
    </w:p>
    <w:p w14:paraId="4905EF21" w14:textId="77777777" w:rsidR="00175F01" w:rsidRDefault="00175F01" w:rsidP="00175F01">
      <w:pPr>
        <w:spacing w:after="0" w:line="240" w:lineRule="auto"/>
        <w:rPr>
          <w:lang w:val="es-ES"/>
        </w:rPr>
      </w:pPr>
    </w:p>
    <w:p w14:paraId="03B38FD8" w14:textId="77777777" w:rsidR="00175F01" w:rsidRDefault="00175F01" w:rsidP="00175F01">
      <w:pPr>
        <w:spacing w:after="0" w:line="240" w:lineRule="auto"/>
        <w:rPr>
          <w:lang w:val="es-ES"/>
        </w:rPr>
      </w:pPr>
      <w:r w:rsidRPr="00175F01">
        <w:rPr>
          <w:lang w:val="es-ES"/>
        </w:rPr>
        <w:t>El curso consiste en clases lectivas de asistencia voluntari</w:t>
      </w:r>
      <w:r w:rsidR="000A4B83">
        <w:rPr>
          <w:lang w:val="es-ES"/>
        </w:rPr>
        <w:t>a</w:t>
      </w:r>
      <w:r w:rsidRPr="00175F01">
        <w:rPr>
          <w:lang w:val="es-ES"/>
        </w:rPr>
        <w:t>. Las clases tendrán un módulo de discusión de textos de lecturas y un módulo práctico, donde los alumnos trabajan tanto de manera colectiva como individual</w:t>
      </w:r>
      <w:r w:rsidR="000A4B83">
        <w:rPr>
          <w:lang w:val="es-ES"/>
        </w:rPr>
        <w:t xml:space="preserve"> a partir de casos concretos</w:t>
      </w:r>
      <w:r w:rsidRPr="00175F01">
        <w:rPr>
          <w:lang w:val="es-ES"/>
        </w:rPr>
        <w:t xml:space="preserve">. Al inicio de cada unidad se entregará un dossier con las lecturas que serán </w:t>
      </w:r>
      <w:r w:rsidR="000A4B83">
        <w:rPr>
          <w:lang w:val="es-ES"/>
        </w:rPr>
        <w:t>discutidas</w:t>
      </w:r>
      <w:r w:rsidRPr="00175F01">
        <w:rPr>
          <w:lang w:val="es-ES"/>
        </w:rPr>
        <w:t xml:space="preserve"> y que permitirán el desarrollo del trabajo final. </w:t>
      </w:r>
      <w:r w:rsidR="0063073C" w:rsidRPr="00175F01">
        <w:rPr>
          <w:lang w:val="es-ES"/>
        </w:rPr>
        <w:t>Asimismo,</w:t>
      </w:r>
      <w:r w:rsidRPr="00175F01">
        <w:rPr>
          <w:lang w:val="es-ES"/>
        </w:rPr>
        <w:t xml:space="preserve"> se indicará el orden en que deberán ser leídas, de manera de facilitar la preparación de cada clase.</w:t>
      </w:r>
    </w:p>
    <w:p w14:paraId="1AA2168E" w14:textId="77777777" w:rsidR="00175F01" w:rsidRDefault="00175F01" w:rsidP="00175F01">
      <w:pPr>
        <w:spacing w:after="0" w:line="240" w:lineRule="auto"/>
        <w:rPr>
          <w:lang w:val="es-ES"/>
        </w:rPr>
      </w:pPr>
    </w:p>
    <w:p w14:paraId="57480B31" w14:textId="77777777" w:rsidR="00175F01" w:rsidRPr="000A4B83" w:rsidRDefault="008A396D" w:rsidP="00175F01">
      <w:pPr>
        <w:spacing w:after="0" w:line="240" w:lineRule="auto"/>
        <w:rPr>
          <w:b/>
          <w:lang w:val="es-ES"/>
        </w:rPr>
      </w:pPr>
      <w:r w:rsidRPr="000A4B83">
        <w:rPr>
          <w:b/>
          <w:lang w:val="es-ES"/>
        </w:rPr>
        <w:t>5.</w:t>
      </w:r>
      <w:r w:rsidRPr="000A4B83">
        <w:rPr>
          <w:b/>
          <w:lang w:val="es-ES"/>
        </w:rPr>
        <w:tab/>
      </w:r>
      <w:r w:rsidR="00175F01" w:rsidRPr="000A4B83">
        <w:rPr>
          <w:b/>
          <w:lang w:val="es-ES"/>
        </w:rPr>
        <w:t>Evaluación:</w:t>
      </w:r>
      <w:r w:rsidR="00175F01" w:rsidRPr="000A4B83">
        <w:rPr>
          <w:b/>
          <w:lang w:val="es-ES"/>
        </w:rPr>
        <w:tab/>
      </w:r>
    </w:p>
    <w:p w14:paraId="01E24D31" w14:textId="77777777" w:rsidR="00175F01" w:rsidRDefault="00175F01" w:rsidP="00175F01">
      <w:pPr>
        <w:spacing w:after="0" w:line="240" w:lineRule="auto"/>
        <w:rPr>
          <w:lang w:val="es-ES"/>
        </w:rPr>
      </w:pPr>
    </w:p>
    <w:p w14:paraId="61B803FA" w14:textId="6966BE5F" w:rsidR="00175F01" w:rsidRPr="00175F01" w:rsidRDefault="00175F01" w:rsidP="00175F01">
      <w:pPr>
        <w:spacing w:after="0" w:line="240" w:lineRule="auto"/>
        <w:rPr>
          <w:lang w:val="es-ES"/>
        </w:rPr>
      </w:pPr>
      <w:r w:rsidRPr="00175F01">
        <w:rPr>
          <w:lang w:val="es-ES"/>
        </w:rPr>
        <w:t xml:space="preserve">El curso será evaluado mediante </w:t>
      </w:r>
      <w:r w:rsidR="00966C8C">
        <w:rPr>
          <w:lang w:val="es-ES"/>
        </w:rPr>
        <w:t>la evaluación consecutiva de un ensayo a partir de su argumento, una contra pregunta y el resultado final</w:t>
      </w:r>
      <w:r w:rsidRPr="00175F01">
        <w:rPr>
          <w:lang w:val="es-ES"/>
        </w:rPr>
        <w:t xml:space="preserve">, conforme a los contenidos revisados. </w:t>
      </w:r>
    </w:p>
    <w:p w14:paraId="6B7D69FB" w14:textId="77777777" w:rsidR="000A4B83" w:rsidRDefault="000A4B83" w:rsidP="00175F01">
      <w:pPr>
        <w:spacing w:after="0" w:line="240" w:lineRule="auto"/>
        <w:rPr>
          <w:lang w:val="es-ES"/>
        </w:rPr>
      </w:pPr>
    </w:p>
    <w:p w14:paraId="52E30079" w14:textId="77777777" w:rsidR="00615E62" w:rsidRDefault="00615E62" w:rsidP="00615E62">
      <w:pPr>
        <w:spacing w:after="0" w:line="240" w:lineRule="auto"/>
        <w:rPr>
          <w:lang w:val="es-ES"/>
        </w:rPr>
      </w:pPr>
    </w:p>
    <w:p w14:paraId="6995FC9E" w14:textId="77777777" w:rsidR="006F5726" w:rsidRPr="000A4B83" w:rsidRDefault="008A396D" w:rsidP="00615E62">
      <w:pPr>
        <w:spacing w:after="0" w:line="240" w:lineRule="auto"/>
        <w:rPr>
          <w:b/>
          <w:lang w:val="es-ES"/>
        </w:rPr>
      </w:pPr>
      <w:r w:rsidRPr="000A4B83">
        <w:rPr>
          <w:b/>
          <w:lang w:val="es-ES"/>
        </w:rPr>
        <w:t>6.</w:t>
      </w:r>
      <w:r w:rsidRPr="000A4B83">
        <w:rPr>
          <w:b/>
          <w:lang w:val="es-ES"/>
        </w:rPr>
        <w:tab/>
        <w:t>Bibliografía</w:t>
      </w:r>
    </w:p>
    <w:p w14:paraId="3A09315C" w14:textId="77777777" w:rsidR="006F5726" w:rsidRPr="008A396D" w:rsidRDefault="006F5726" w:rsidP="00615E62">
      <w:pPr>
        <w:spacing w:after="0" w:line="240" w:lineRule="auto"/>
        <w:rPr>
          <w:color w:val="FFFFFF" w:themeColor="background1"/>
          <w:sz w:val="4"/>
        </w:rPr>
      </w:pPr>
      <w:r w:rsidRPr="008A396D">
        <w:rPr>
          <w:color w:val="FFFFFF" w:themeColor="background1"/>
          <w:sz w:val="4"/>
          <w:lang w:val="es-ES"/>
        </w:rPr>
        <w:fldChar w:fldCharType="begin" w:fldLock="1"/>
      </w:r>
      <w:r w:rsidR="00F23485" w:rsidRPr="008A396D">
        <w:rPr>
          <w:color w:val="FFFFFF" w:themeColor="background1"/>
          <w:sz w:val="4"/>
          <w:lang w:val="es-ES"/>
        </w:rPr>
        <w:instrText>ADDIN CSL_CITATION {"citationItems":[{"id":"ITEM-1","itemData":{"edition":"1st","editor":[{"dropping-particle":"","family":"Azuela","given":"Antonio","non-dropping-particle":"","parse-names":false,"suffix":""},{"dropping-particle":"","family":"Ángel","given":"Cancino Migue","non-dropping-particle":"","parse-names":false,"suffix":""}],"id":"ITEM-1","issued":{"date-parts":[["2014"]]},"note":"riEn el Kindle","publisher":"Azuela, Antonio Ángel, Cancino Migue","publisher-place":"Ciudad de México","title":"Jueces y Conflictos Urbanos en Latinoamérica","type":"book"},"uris":["http://www.mendeley.com/documents/?uuid=0fb64b05-e5ce-4d0b-9e4f-c269c518fe91"]},{"id":"ITEM-2","itemData":{"ISBN":"9562080722","editor":[{"dropping-particle":"","family":"De-Mattos","given":"Carlos","non-dropping-particle":"","parse-names":false,"suffix":""},{"dropping-particle":"","family":"Ducci","given":"María Elena","non-dropping-particle":"","parse-names":false,"suffix":""},{"dropping-particle":"","family":"Rodríguez","given":"Alfredo","non-dropping-particle":"","parse-names":false,"suffix":""},{"dropping-particle":"","family":"Yáñez","given":"Gloria","non-dropping-particle":"","parse-names":false,"suffix":""}],"id":"ITEM-2","issued":{"date-parts":[["2004"]]},"publisher":"Ediciones SUR - Libros EURE","publisher-place":"Santiago, Chile","title":"Santiago en la Globalización: ¿Una nueva ciudad?","type":"book"},"uris":["http://www.mendeley.com/documents/?uuid=0e0f83e4-1d1c-4cc8-99d5-be6a2e6ac03a"]},{"id":"ITEM-3","itemData":{"author":[{"dropping-particle":"","family":"Cordero","given":"Eduardo","non-dropping-particle":"","parse-names":false,"suffix":""}],"container-title":"Nomos","id":"ITEM-3","issued":{"date-parts":[["2008"]]},"page":"91-112","title":"EL DERECHO URBANÍSTICO CHILENO Y LA GARANTÍA CONSTITUCIONAL DE LA PROPIEDAD","type":"article-journal","volume":"2"},"uris":["http://www.mendeley.com/documents/?uuid=e0da3308-5ed4-45f5-82e5-c8907f971a69"]},{"id":"ITEM-4","itemData":{"author":[{"dropping-particle":"","family":"Frug","given":"Gerald","non-dropping-particle":"","parse-names":false,"suffix":""}],"edition":"4","id":"ITEM-4","issued":{"date-parts":[["1999"]]},"note":"3 Strategies for Empowering Cities\n\nFights for freedomcan be tied to some form of independent corporate life of the city, of descentralizing power from the state, which is against the idea of a division between the state and the individual to protect liberty. Notwhistanding, the corporate power itself needs to be controlled by the state, there is no major amenaza to the liberty than have corporate or intermidaite powers that have inmunity over the state control. The descentralization of power to thec tities &amp;quot;need not bebased on a zone of immunity from state control or on the quation of cities with purely political power that Dillon and other sought to establish. It can be basedinstead on the reestablishment of their importance in the lives of their inhabitants&amp;quot;. Examples of the greek life, the medieval towns, the New England towns and todays descentralization have been fights for having a new status of freedom with the at the time state power. \n\nSin embargo, la defensa de los derechos de ciudad y de construcción del espacio han sido defendidos desde la individualidad, asumiendo los gobiernos corporativos o inetremedios no como grupos sino que como la suma de los derechos indivudales de cada uno (p56). Sobre todo la propiedad privada (p57). Y la lógica de frupo se ha eliminado de los gobiernos corporativos, de las gatted communities, incluso de los residentes derechos de zoning son conceptualizados a partir de los derechos de los residentes, en el fondo, a partir del derecho a la propiedad privada (p58). Lo interesante es que el poder estatal muchas veces interviene en estos elementos, pero a partir de justamente limitar los derechos colectivos a partir de la noción de derechos corporativos que amenzan tanto el poder individual como el poder estatal (p58). Así, las grandes ciudades son intervenidas por el poder central, mientras que los suburbios ganan y ganan poder. \n\nLOS SUBURBIOS AMERICANOS SON UNA DEMOSTRACIÓN DE LA DISTINCIÓN ABSOLUTA entre la división público/privado. La distinción, originalmente elaborada para separa ciudades de corporacionesprivadas, ahora sirve para dividir espacios privados de la ciudad como aquellas zonas &amp;quot;públicas&amp;quot;. Incluso señala Frugm estas asociaciones de privados tienen fines públicos, tal como las corporaciones privadas (p60). Una posibilidad es convertir,m encontces, a las ciudades en howowners associations o en corporaciones privadas. Pero Frgu señala que eso sería perder la posibilidad de manejar lo público de una manera distinta a lo &amp;quot;estatal&amp;quot;. La idea la libertad pública (crear comunidad) y de algo diferente a ideas de asociatividad (gatted communities, homeowners associations, private coportations) que nazca algo distinto de la propiedad privada. \n\nPara ello ser requiere una relación más pública entre las ciudades en si. \n\nEntender el poder de la ciudad en términos individualistas, dentro de sus límites y con los habitantes que dicha ciudad tiene hoy como únicos acotres relevantes, sin que los outsideres tengan derecho a voz en esas discusiones. Uno de los problemas de esa visión es que jystamente le quita poder a las ciudades. A la impotencia de las ciudades (p61) Y dado que son entendidads como individuos que piensan en su interés propio, deben tender a los conflictos que serán resuletos por un terecero (el Estado). Así, cualqueir descentralización es vista como mayor poder individual frente al Estado, perdiendo la posibilidad de entenderlo como poder para las ciudades entre sí. Así, es imposible zonificar entre dos comunas por ejemplo, salvo que ambas se beneficien de ello. Quien debe intervenir entonces: El Estado.","number-of-pages":"255","publisher":"Princeton University Press","publisher-place":"Princeton","title":"City Making: Building communities without building walls","type":"book"},"uris":["http://www.mendeley.com/documents/?uuid=ebbbbd7d-0530-44ff-b7c9-68522974a532"]},{"id":"ITEM-5","itemData":{"edition":"4th","editor":[{"dropping-particle":"","family":"Fainstein","given":"Susan S.","non-dropping-particle":"","parse-names":false,"suffix":""},{"dropping-particle":"","family":"Defilipis","given":"James","non-dropping-particle":"","parse-names":false,"suffix":""}],"id":"ITEM-5","issued":{"date-parts":[["2016"]]},"number-of-pages":"613","publisher":"Wiley Blackwell","publisher-place":"West Sussex","title":"Readings in Planning Theory","type":"book"},"uris":["http://www.mendeley.com/documents/?uuid=4aaa7e25-0b0c-4ca9-9ce0-c18e9b2e6468"]},{"id":"ITEM-6","itemData":{"DOI":"10.1007/BF00219324","ISBN":"9781118456477","ISSN":"03008177","author":[{"dropping-particle":"","family":"Hall","given":"Peter","non-dropping-particle":"","parse-names":false,"suffix":""}],"edition":"4th","id":"ITEM-6","issued":{"date-parts":[["2014"]]},"number-of-pages":"642","publisher":"Wiley Blackwell","publisher-place":"Oxford","title":"Cities of Tomorrow: an Intellectual History of Urban Planning and Design Since 1880","type":"book"},"uris":["http://www.mendeley.com/documents/?uuid=b620f4b4-ff00-42d4-a38d-bd035a13d1e9"]},{"id":"ITEM-7","itemData":{"author":[{"dropping-particle":"","family":"Frug","given":"Gerald","non-dropping-particle":"","parse-names":false,"suffix":""}],"id":"ITEM-7","issued":{"date-parts":[["2010"]]},"note":"The rule of law = El Estado de Derecho, está construido para proteger al débil del poderoso. ¡Es así en las ciudades norteamericanas? LEgal rules producen diferencias importantes entre jurisdicciones diferenciadas por lo que se puede o no puede hacerse en una o en otra. Zoning law, land use law (algo así como art 59) environmental law, local government law. \nFrug concentrates on how law organizes city life. \nUrban problems requires an elaborate legal structure: he concentrates on the idea of the rule of law, which is the need to restrain the exercise of arbitrary powerm the need to protect the weak from the strong (the need to restrain fovernmental power ant the need to restrain private power, but they contradict each other. we seek to empower government and to disnpower it. But rely on formal system is at its best, an &amp;quot;insufficent way to restrain arbitrary power&amp;quot; (p63). \nThe rule of law on informality of Bombay: 1) extending the formal legal system? unachievable in the most cases. 2) local democracy, suggest Frug. Change the decision makersfrom experts to oridary people but as a modificacion of the legal system, not an addition. \n\nEconomic growth of the cities: 3 negotiations city and developer, the 2 of them and sorroundng neigbourhood, and regulatory government bodies. The most important issue (is) that these developments raise us not addressed by the legal system at all. Space for arbitrary power in the different stages, since there is no legeal framework for this negotiations (!!!!!!!! p66) and is a public authority and not the city who represents the public, someone who is less responsive to democratic decision making than the city itself (Fainstein, 2001). Crack between those who sell the city and who are their representatives (p66, based on Sassen).","title":"A \" rule of law \" for cities","type":"article-journal"},"uris":["http://www.mendeley.com/documents/?uuid=2571c674-f8e7-406c-80b4-436d5a2fa19c"]},{"id":"ITEM-8","itemData":{"DOI":"10.4067/S0250-71612003008700005","ISSN":"02507161","author":[{"dropping-particle":"","family":"Fernándes","given":"Edésio","non-dropping-particle":"","parse-names":false,"suffix":""}],"container-title":"Eure","id":"ITEM-8","issued":{"date-parts":[["2003"]]},"page":"63-78","title":"Del Código Civil al Estatuto de la Ciudad: algunas notas sobre la trayectoria del Derecho Urbanístico en Brasil","type":"article-journal","volume":"29"},"uris":["http://www.mendeley.com/documents/?uuid=0f802233-08e6-44b7-be57-3d225ab9decc"]},{"id":"ITEM-9","itemData":{"ISSN":"03074870","author":[{"dropping-particle":"","family":"McAuslan","given":"Patrick","non-dropping-particle":"","parse-names":false,"suffix":""}],"container-title":"Journal of Planning and Environment Law","id":"ITEM-9","issue":"2","issued":{"date-parts":[["2013"]]},"note":"&amp;quot;it would be appropriate and relevant to bring to bear on these reforms the fundamental issue of justice which is now central to planning and land law reforms in so many other parts of the world. How just is the reformed system; what part does and has law played in furthering or hindering the justice of the system? If justice remains elusive, what should be done about it?\n\n\n(a) body of literature that had been addressing the issue of the justice of the planning system over the years and I would be endeavouring to add to this literature from the perspective of the law.\n\nSoja: 22/10/2015 Towards a just planning system: the contribution of law | Westlaw UK to add to this literature from the perspective of the law. As Soja, has noted:\n&amp;quot;Seeking to increase justice or to decrease injustice is a fundamental objective in all societies, a foundational principle for sustaining human dignity and fairness. The specific term ‘justice’ has*J.P.L. 146 developed a particularly strong hold on the public and political imagination in comparison with such alternatives as ‘freedom’ with its now strongly conservative overtones, ‘equality’ given the impact of a more cultural politics of difference and the search for universal human rights, detached from specific time and\nplace.&amp;quot;\n\nBut english literature has failed to focus in the just planning system.\n&amp;quot;My objective is therefore to arrive at a position on justice that I can then use to assess the English system of planning, mainly but not exclusively post?Localism Act. There are in my view three strands of what might be called land?related justice which need to be considered in attempting to arrive at such a position: environmental justice; spatial justice; and the &amp;quot;just city&amp;quot; approach. In addition, no?one attempting to discuss issues of justice in relation to practical matters can ignore Rawls’s or Sen’s general discussions of justice. The aim is to try and construct a concept of justice that can be applied to assess the system of planning now operative in England and Wales\n\nEnvironmental justice\n\nspatial justice (Soja) &amp;quot;This is why spatial justice does not simply stress the need to intervene on space but more radically, the unavoidable conflictuality and violence of any intervention and thus the need to deal with these aspects.&amp;quot;\n\njust city: urban theory of justice and to use it to evaluate existing and potential institutions and programs … My effort within the urban context is to ‘name’ justice as encompassing equity, democracy and diversity and to argue that its influence should bear on all public decisions\n\nFainstein distilled discussions iin 4 topics: (1) the relation of democratic processes to just outcomes; (2) the criterion of equity; (3) the criterion of recognition and (4) the tensions among democracy, equity and diversity …\n\nThen aMaCauslen defines his idea of a just planning system and then evaluates the &amp;quot;Localism Act&amp;quot; with his framework. Great point of Fainstein rationale for evaluatin the Localism Act:what is the evidence that more local involvement with making plans will produce more equitable distribution of resources?\n\n106 Agreements vs Community Infraestrcutre Levy (encuentor malas las criticas de McCauslan, creo que no por tener un mal procedimiento o por beneficiar directamente a la comunidad vamos a tener que eliminar los 106 y cambiarlos por una lógica de impacts fees).\n\nLuego analiza el sistema de planificación desde el punto de vista legal. Basado en Heap (1975) y Evans and Hartwich, señalando que hay 3 elementos que lo han hecho caer en un camino de complejidad: (i) por la cantidad de escalas y tipos de procedimientos para la revisión del público; 2, la participación ciudadana ;3 la cantidad de cosas que se esperan de proceso de planificación. \n\nPara UK: 1.Acoplarse a sistema europeo de planificación 2. Role of Courts, 3. there is a decline of respect and trust over local governments by the centre (este punto es MUY bueno para CHile, la desconfianza a la autoridad central)","page":"145-157","title":"Towards a just planning system: The contribution of law","type":"article-journal"},"uris":["http://www.mendeley.com/documents/?uuid=dc0460a8-3c85-4e85-8868-d45b1bcf74f4"]},{"id":"ITEM-10","itemData":{"DOI":"10.1177/107808740003500401","ISBN":"1078-0874","ISSN":"1078-0874","PMID":"358571836","abstract":"The author examines three approaches to planning theory: the communicative model, the new urbanism, and the just city. The first type emphasizes the planner’s role in mediating among “stakeholders,” the second paints a physical picture of a desirable planned city, and the third presents a model of spatial relations based on equity. Differences among the types reflect an enduring tension between a focus on the planning process and an emphasis on desirable out- comes. The author defends the continued use of the just-city model and a modified form of the political economy mode of analysis that underlies it.","author":[{"dropping-particle":"","family":"Fainstein","given":"Susan","non-dropping-particle":"","parse-names":false,"suffix":""}],"container-title":"Urban Affairs Review","id":"ITEM-10","issue":"4","issued":{"date-parts":[["2000"]]},"note":"communicative/collabortive model, plnner role in mediating among stakeholders\nnew urbanism/neotraditionalism/ objective of a phyisical picture that could be obtained through planning\njust city, politicial economy tradition, a model of spatial relations based on equity.\n\nnoot included\n-the traditionally dominant paradigm of the rational model (outside the discussion of processes or outcomes), a theory withouth object or subject, only scientific model-\n- incrementalist bassed on neoclassical economics\n- Courbasian modernist\n\n90s: Rational model-and Physical MasterPLan\nCritics from the political economic analysis: who benefits form planning?\nThe 3 theoretical moves are a reaction to the rational model and to eents &amp;quot;on the ground&amp;quot;. Communicative model: responds to the top-down model planning adn the one side reading of the public interest, new urbanism a reaction to themarket-driven development that destroy spatial basis for communities, just city reacts to social and spatial inequality endegendered by capitalism.\n\nCommunicative (pragamtism of john Dewey and Rorty + communicative rationality of Habermas)\nHoch: where democratic planning can be institucionalized\nHealye: communicative rationality start form an abstract proposition, reasoning as a communicative action -and not self concious autonomous- with and intersubjective effort of mutual understanding","page":"451-478","title":"New Directions in Planning Theory","type":"article-journal","volume":"35"},"uris":["http://www.mendeley.com/documents/?uuid=02b9536a-56d2-4e84-b01e-6900912c972c"]},{"id":"ITEM-11","itemData":{"author":[{"dropping-particle":"","family":"Gil","given":"Diego","non-dropping-particle":"","parse-names":false,"suffix":""}],"id":"ITEM-11","issue":"August","issued":{"date-parts":[["2013"]]},"page":"119-164","title":"The Political Fragmentation of Land Use Governance in Santiago , Chile , and its Implications for Socioeconomic Residential Segregation","type":"article-journal"},"uris":["http://www.mendeley.com/documents/?uuid=445788d0-9073-4bba-b3b4-51368ad74d0a"]},{"id":"ITEM-12","itemData":{"author":[{"dropping-particle":"","family":"Talen","given":"Emily","non-dropping-particle":"","parse-names":false,"suffix":""}],"id":"ITEM-12","issued":{"date-parts":[["2012"]]},"note":"Chapter 1: (Legal affairs) are concerned with things like state reviwe procedures, consistency and reform in lan-use decision maiking, housing programs, judicial review of zoning, reviews of state and regional planning acts, virtually everything except the impact of a rule on place. This is unforttunate because it is through form and pattern that zoning exterts control over things like social behaviour, daily pattrerns of movement, and acces to public goods. Rules impact how places perform--socially, environmentallly, and economically. (...) Layers of convulted rules produce a city form that might have been never intended. \n\nChapter 3: Urban pattern is affected by rules for land subdivision, street width and layout, and the spatial arrengement of zoning district. La pregunta del donde. \n\nHisotira de como las ciudades americanas y otras se fueron subdividiendo y haciendo normas para ello. ¡Cómo fue en Chile?\n\nNormas que influyeron en todas las ciudades americanas: la de la subdivisón en cuadrículas (p41 y stes) independiente sus tamaños. \n\nEl tamaño de los lotes es uno de los elementos de regulación que nacen como regulaciones inocuas, antes de convertirese en métodos de segregación social. \n\nParadójicamente, esta uniformidad trató de superarse mediante el Uniform City Planning Code, que determinó reglas para los procedimientos para determinar los loteos, más que los loteos en si (p45). La reacción, eso si, tenía más que ver con la impresión de que los loteos ex-ante no coincididan con las condiciones topográficas de cada zona, más que que relaionarlo con la segregación residencial. \n\nRespecto a distintos tipo de motivaciones en hacer pequeños lotes (anti y pr segregación) ver p 47. \nLa pregunta que se hacen Tallen en estas páginas es ¡Cual es la fuerza detrás de las modificaciones legales? Motivaciones de política pública, fuerzas del mercado, conocimiento técnico\n\nConsecuencias de la desconexión de normas urbanas sobre el aptrón urbano y las actualmente existentes: La regulación no se aplica a un espacio determinado sino que a un espacio teórico (p57). Desconexión entre lo espacial y la norma urbana. EL SOPORTE DE MUCHAS NORMAS NO PARECE SER NADA MAS QUE LA INERCIA. O INCLUSO OS DOGMAS. o el azar. Argumentos caso phoenix. \n\nZonificaciones con maña transicicón en el espacio. Genera malos patrones urbanos. normas de patrón urbano que impiden integración al final del ca`ítulo. Puedes hacer el mismo ejercicio enttrre barios viejos y antiguos Chile. Revisar.\n\n4. Uso\n\nHistoria del uso. LA regulación del uso fue un cambio dramático en la forma en que se construyen las ciudades. y fue de la primeras normas urbanas. No fue altura, ni densidad, ni tamaño, sino que USO. Sobre tod usos prohibidos. p90. Interesante punto de Warner de que pasaba ANTES de que hubiese normas (p90). En los primeros casos fue derechamente para Separar y por ende, muchas veces ecplíctamente, SEGREGAR (ver casos p90 y 91). El proceso alemán fue distinto, en relaciónar el control de la intensidad del uso de suelo.\n\nHistoria de las reglas de uso: \n1. Reglas que separan gente, historia de EEUU y como normas nacieron para mantener separación racial. El sistema anterior a las normas se relacionaba con poblaciones mezcladas, por necesidad económica (p93). Proceso de industrialización la afilación étnica comenzò a ser el desarrollador de la geografía social. La clase y la raza ceomenzaron a prevalecer en determinados barrios. Incluso la segrgeación parecía necesaria en la ciudad moderna. Mediante el control de la subdivisión (platting control), zoning,y deed restrictions. La creación de mercados diferenciados, la separaciópn mediante carreteras y la aislación de determinados barrios consolidó este sistema. \n\nDirecta o indirectamente las normas se elaboraban para mantener la homogeneidad. (zoningi, deed restrictions, requiring excesive infraestructure or expensive constructions materials).\nIn Germany, more attention on the effect of social mixing. \nLow densisties were defended as a method of housing reform, not exclusion. (97). The only form on reducing prices of housing was to reduce speculation, and it could only be stopped reducing densities (98). (German influence). Henry George (single land taxation champion) thought it would produce the opposite.\nhistoria de normas para seprar, sobre todo en torno a la discusión a inicios de siglo en EEUU y la single-family housing, vs la attached y la multihousing. Then, sprawl is the measure to what far was single housing the option for a city planning. Basset, Lawrence Veiller (que defiende la homogeneidad) vs Power. Reference to the case of Euclid vs Ambler (1926, ver en internet). Hay notas que estudain el caso (p92). \n\n\n2. Reglas que separan funciones\nUsos residenciales vs industriales y comerciales (Sim City!). Coming form public health and housing. Again was used for &amp;quot;protecting the poor&amp;quot;. But it affected them, mixing industrial uses with residential zones where the poor lived ( 102). Against, it did not follow the German tradition. \nNOTA: vamos a tener que escribir sobre escuelas de planificación y normativa. Ya este libro distinge dos, la escuela amaericana y la germana, pero habrá que ver las notas particulares de los autores que Tallen cita. \nLas primeras zonificaciones parecieran mostrar que los planners no tenían idea lo que estaban haciendo (p104) y derivó en overzoning y sprawl. Hubo mucha normativa que se implementó casi intuitivamente. \nLas regulaciones pre guerra mundial eran: (i) mas simples, pocas categorías, pocas zonas y pocas páginas; (ii) permitian unas mezclas de usos mucho mas ricas, ya que las zonas tendían a ser mas chicas. Si bien habia un rechazo a los lugares con mucha actividad comercial cerca de los residenciales, también se creía que la cercanía era buena. (iii) El contenido de la zonificación era mucho menos restrictivo. \nLa amenaza de los mixing uses en zonas residenciales comenzó desde 1920 (Logan 1972) sobre todo con Bassett, que alegó en favor de juntar zonas comerciales y negar el espacio a usos mixtos. Basset aboga por el modelo de la inter-dependetn community&amp;quot;.\n\nMixing houses fear of diminishing values was unrealized (113). Effects of different type of zoning 113-125. But now there is a vigorislly amountof norms blocking mixing uses. Zoningdurante el curso del siglo 20 ha sido incapaz de generar un sistema saludable de usos mixtos en la ciudad (p119). Maravilloso el ejemplo de Tampa, Urbana. Aún hoy hay ordenanzas de eeuu que condena los usos mixtos! Interesante punto de vista crítico a norma que prohibe la venta de alchohl cerca de colegios (si es que queremos densidad cerca de ellos!).\n\nForm\nSe usa como un elemento para distinguir lo tridimensional en el libro. La forma define el espacio (se controla a través de norma de linea, antejardín, ocupación de suelo, ancho de calle, tipo de construcción, altura, fachada, tipo de ventana. Robert Krier identificó 24 formas in que los edificios forman espacio. \n- Muchos objetivos de política pública (salud, incendios, tránsito) afectan la forma de nuestras ciudades. Antes la forma se regulaba directamente, hoy hay regulaciones que afectan la forma indirectamente (127). \nSe dicuten 3 reglas: ancho de calles, altura, fachadas a través de linea de construcción y antejardín. Normas que nacieron por un interés estético pero que hoy se mezclan con intereses de hacer la ciudad mas eficiente. \n1. La norma de ancho de calles nació como una forma de limitar la usurpación de vías de tránsito. Esto tenía que ver con que muchas de estas calles debían ser construidas y amntendidas por estos privaods, lo que hacía por cierto pensar que dicho espacio les pertenecía a ellos. La ampliación de las calles tuvo que ver con mantener un mejor tránsito (2 carretas como medidfa) incendios (London 1666) y salud. Un criterio clásico fue vincular la norma de ancho de calle con la de altura de construcción (ejemplos en p 130). Discusiones en torno a cuanto porcentaje del suelo debiese ser calles (un indicio, p 131)\n2. Norma de altura: historia. Temas de salud, luz y límites. Como surgieron. Interesante como Frank Flagg desarrolla la idea de construcciones continuias y luego alturas separadas. (133). El objetivo en la famosa Ordenanza de NY de 18916, para George Ford, era hacer una ciudad parecida entre 4 o 5 pisos. Las setback rules modificaron la morfología de NY, basados en normas inglesas. Algo parecido a la línea de rasante.\nSurgieron estas normas como miedo a los rascacielos. Prblemas práctico de las ventanas bloqueadas!\n\n3. Frontage\ntipes of norms of frontage.\nLa unifromidad es un concepto que se ha perseguido ya sea por estética y armonía, o por reducir costos. Fachadas continuas han sido requeridas por siglos en Europa. Tipos de contstrucción, tipos de ventanas, materiales, ancho de balcones, ground floor over the street, están incluidas en esas normas. Normas de fachasda también alcanzaban a elementos como porches, arcadas, frentes de tiendas y así. La Ley de Indias es, por ejemplo, una de ellas. \nZoning no ha llegado al nivel de detalle presente en normas de fachada pre siglo XIX (varios ejemplos p 140-141). Donde si intervino el zoning fue en las normas de antejardín (p 142 reconoce que setback regulations son lo mismo que building lines). Fue muy peleado judicialmente.","number-of-pages":"212","publisher":"Island Press","publisher-place":"London","title":"City Rules: how regulations affect urban form","type":"book"},"uris":["http://www.mendeley.com/documents/?uuid=2bb9d207-8475-46dd-a347-98f8bb1f1e48"]},{"id":"ITEM-13","itemData":{"author":[{"dropping-particle":"","family":"Braverman","given":"Irus","non-dropping-particle":"","parse-names":false,"suffix":""},{"dropping-particle":"","family":"Blomley","given":"Nicholas K","non-dropping-particle":"","parse-names":false,"suffix":""},{"dropping-particle":"","family":"Delaney","given":"David","non-dropping-particle":"","parse-names":false,"suffix":""},{"dropping-particle":"","family":"Kedar","given":"Alexandre","non-dropping-particle":"","parse-names":false,"suffix":""}],"edition":"1st","editor":[{"dropping-particle":"","family":"Braverman","given":"Irus","non-dropping-particle":"","parse-names":false,"suffix":""},{"dropping-particle":"","family":"Blomley","given":"Nicholas K","non-dropping-particle":"","parse-names":false,"suffix":""},{"dropping-particle":"","family":"Delaney","given":"David","non-dropping-particle":"","parse-names":false,"suffix":""},{"dropping-particle":"","family":"Kedar","given":"Alexandre","non-dropping-particle":"","parse-names":false,"suffix":""}],"id":"ITEM-13","issued":{"date-parts":[["2014"]]},"note":"&amp;quot;Legal geographers note that nearly every aspect of law is located, takes place, in motion, or has some spatial frame of reference. In other words, law is always worlded in some way. Likewise, social spaces, lived spaces, and landscapes are inscribed with legal significance&amp;quot;.\nUnlike other traditions, legal geography occupies little institucional presence, it has no specialized journals, graduate programs or professuibak assicuiations, and is rarely taught in law schools or geography departments&amp;quot;\n\n3 models of geographic research:\n--&amp;gt; Disciplinary work in law or geography that is modeled on the conventional image of import and export. &amp;quot;cross disciplinary Encounters (Frug, Briffault,, Neuman, Calmore) though this actors were not interested in the fluid nature of social space (I do not agree). Santos is an exception in &amp;quot;law: A Map of Misreading-Toward a Postmodern Conception of Law. Also, there was a neglection of Law and Society Movement from space. \n--&amp;gt; interdisplinary pursuit in which scholars in law and geography draw on the work of one another and seek to contribute to the development of a common project. &amp;quot;Interdisplinary engagements&amp;quot;. Critical Legal Studies Movement influence, Gordon Clark (leer), Blomley, Mitchel (leer (1997), Delaney (Race, Place and Law). From Law scholars: Davina Cooper, Aoki (leer), Neuman (Leer) Frug de nuevo, Ford (no estas tan perdido!). Geogrpaphers and CLS legal scholars were explicetey and normatively critical. Not only with leftist or radical political commitment but with a broad skepticism towards the state and the pieties of many rule of law claims (p6). \n- The legal geographies reader and Law and Geography and The Place of Law. And a lot of journals (check), european and british autoprs are expanding this movement (Anne Griffiths, Davina Cooper, Sarah Blandy, Phil Hubbard, Antnia LAyard, Jane Holder, Sarah Whatmore, Andreas Philippopoulos Mihalopoulos)\n--Z transdisplinary modes of scolarship: legal pluralism from antorpology (Brenda-BEckman) Dellaney and the idea of nomosphere, nomoscapes. Braverman\n\nThis triadic classificationit is usefull to orgainize the rich yet eclectical legal geography scolarship. Yet, it is limited because relations between law and space ocurred before 1980s. Second, this linnear progressing in time in not fully accurate.\n\nExpanding the Space of Law\nPower, its relation with Law,, conceptions on governamentality, biopower and pastoral power, and its particularities and specifities (not just as a general concept) Foucalt. \nBetter insghts on space, thinking legally on space &amp;amp; time, thinking temporally and geographically about law. The priviligieng space over time. \nTemporality of lgeal spaces\n\nExpanding on Law and Space\nMeaning of law (Valverde 2011) Blomely 2011), avoiding to understand law as a manifestation of the broader social context, becasue the risk is to lost sights on how its particular ways legal actors think and act (p15) Forms of knowledge specific to law, legal tchniques (MUY IMORTANTE PARA TU TESIS. \nUniversality of law?\nComparative Law\n\nthe abstraction of law vs the conretance of geography )is my idea but taken out of p16, Wes Pue). Space as a thing -objetct in and of itself- . Another view in space is the idea of space in relational terms. Objects ARE space, and space is objects&amp;quot; City in that sence is space, but without territorial or systemathic integrity, since they are made through the spatiality of flo, juxtaposition, porosity and relational connectivity (Amin 2002). Legal spaces, then, can be the production of a relational and nomospherically.\nAlso, it allows to contend methasphores of state, the vrtcality of power, and the encompasity (sistema de circulos y relaciones familia, municipio, estado, corporaciones). But is hard to scape from scales as &amp;quot;actually existing entities that consitute the spatial context within and among which social actions take place&amp;quot;. (moore, 2008)\n\nleer cap 2, 3!!!, 4 muy interesante para metodología, 7","number-of-pages":"267","publisher":"Stanford University Press","publisher-place":"Standford, California","title":"The Expandig Spaces of Law","type":"book"},"uris":["http://www.mendeley.com/documents/?uuid=4cf0278d-a486-4e3c-969c-6155a293d746"]},{"id":"ITEM-14","itemData":{"DOI":"10.4337/9781785361746.00038","ISBN":"9781785361746","author":[{"dropping-particle":"","family":"Layard","given":"Antonia","non-dropping-particle":"","parse-names":false,"suffix":""}],"container-title":"Handbook of Gentrification Studies","id":"ITEM-14","issued":{"date-parts":[["2018"]]},"page":"444-466","title":"Property and planning law in England: facilitating and countering gentrification","type":"article-journal"},"uris":["http://www.mendeley.com/documents/?uuid=9d7bfa91-5fd9-408c-8f26-f71a1e804878"]},{"id":"ITEM-15","itemData":{"author":[{"dropping-particle":"","family":"Bennett","given":"Luke","non-dropping-particle":"","parse-names":false,"suffix":""},{"dropping-particle":"","family":"Layard","given":"Antonia","non-dropping-particle":"","parse-names":false,"suffix":""}],"container-title":"Geography Compass","id":"ITEM-15","issued":{"date-parts":[["2015"]]},"note":"1. Research Gap as the beggining of legal geography (Blomley, Bakan, Clark)\nScholars began to delve deeper, considering how law’s ‘impoverished understanding of space’ (Butler 2009, 319) might be improved as well as how geographical scholars might explore the legal co-production of space.\n\nNot new, though: scholars had studied how legal rules, practices and governance produce landscapes and places ((Harvey 1973; Lefebvre 1991; McAuslan 1980; Perin 1977; Thompson 1975; Webb and Webb 1929)\n\n&amp;quot;What changedmost strikingly fromthe 1980s onwards, however,was theway inwhich legal geographical research increasingly acknowledged the reflexivity involved in examining how space, law and society are related. (...) In short, law, people and places are intertwined – the impact of law is both felt and made (at least in part) locally.\n\nQuote on Holder and Harrison (la segudna parte es la que te importa mas) : a ‘Geography of Law’ approach suggests that law must make room for local conditions and Blacksell et al 1986 experience, and recognize the changing of laws to work in local contexts. The identification here is with ‘local legal universes’ or ‘legal localization’– forms of regulation rooted in local conditions of existence. (Holder and Harrison 2003, 4)In turn, [they continued,] ‘doing law’ in geography (‘Law in Geography’) helps our understanding of how law shapes physical conditions and legitimates spatiality, and makes clear that law has a physical presence, or even many presences. This has the capacity to release law from its (imposed and self-imposed) confinement as ‘word’ (interpretation, meaning, discourse). (Holder and Harrison 2003, 5)\n\nDespues de defnir geografía legal, el texto se pregunta: 1 ¿cual es la especialidad de la ley, o como los arreglos espaciales afectan la implementación y redacción de la ley, y viceversa (prácticas legales cambian de acuerdo a su ubicación); 2. cual es el rol de la ley en constituir lugares (la cconstitución del espacio; y 3 como abogados y geografos se enmarcan en nociones de jurisdicción y escala (en el sentido de distintas normas para distintos espacios territoriales, la escala en geografía (en la lógic ade relaciones sociales que hacen el espacio, está en duda, en derechom, en cambio, la escala es parte de la forma en que la jurisidcción se ejerce (distintas comeptenecias por ejemplo)).\n\nMethodological approaches\n1. particular legal cases: Plurar specificites of different experiences, pluralism. Delaney puts forward a method of contextual case analysis or ‘nomic collage’, inwhich legal decisions are subjected to an analysis that seeks to identify both the ‘legal moves’ and the ‘spatial imaginaries’ used by that technician. The idea of space-talk of Pue. \n2. Fieldwork: an understanding of how spaces and places are themselves co-produced – legally and politically as well as socially and spatially. Immersive, site level enquiry seeks to investigate precisely how (and why) sites are framed,managed or used in the way that they are. This This spatial detective work emphasises the importance of materiality, asking how the spatio-legal is implicated in the making of place and how it plays out amidst the embeddedness of humans within a world of physical things and the resistances and affordances that they represent. Such investigation often has an ethnographic orientation\n\nLocations:\nscene of investigation: tradiotanily: municipal law, linked to investigating the urban manifestation of spatial governance and marginalised identities (examples in 413).\n\nSpace and Time: tries to reflect on the idea of Valverde y porque puede ser importante para el detective que los autores plantean (buenos puntos en 416)\n\nMatterialities and Affect: law is appropiated and forced to fit tasks im han, becoming something close to afeeling,with sense of entilement or prohibition. (ver 417)","page":"406-422","title":"Legal Geography: Becoming Spatial Detectives","type":"article-journal","volume":"7"},"uris":["http://www.mendeley.com/documents/?uuid=476482ca-b3de-4633-a7b5-933a377b785c"]},{"id":"ITEM-16","itemData":{"DOI":"10.4324/9781315511658-3","ISBN":"9781138201514","author":[{"dropping-particle":"","family":"Hengstermann","given":"Andreas","non-dropping-particle":"","parse-names":false,"suffix":""},{"dropping-particle":"","family":"Hartmann","given":"Thomas","non-dropping-particle":"","parse-names":false,"suffix":""}],"container-title":"Instruments of Land Policy","id":"ITEM-16","issued":{"date-parts":[["2018"]]},"number-of-pages":"27-32","title":"Instruments of land policy","type":"book"},"uris":["http://www.mendeley.com/documents/?uuid=c96fe4f8-1e6c-46b5-98c1-ffa26226adab"]},{"id":"ITEM-17","itemData":{"DOI":"10.1111/geoj.12212","ISSN":"14754959","author":[{"dropping-particle":"","family":"Hubbard","given":"Phil","non-dropping-particle":"","parse-names":false,"suffix":""},{"dropping-particle":"","family":"Prior","given":"Jason","non-dropping-particle":"","parse-names":false,"suffix":""}],"container-title":"Geographical Journal","id":"ITEM-17","issue":"1","issued":{"date-parts":[["2018"]]},"page":"53-63","title":"Law, pliability and the multicultural city: Documenting planning law in action","type":"article-journal","volume":"184"},"uris":["http://www.mendeley.com/documents/?uuid=5d617bee-134a-4007-8091-23236c05676e"]}],"mendeley":{"formattedCitation":"(Frug</w:instrText>
      </w:r>
      <w:r w:rsidR="00F23485" w:rsidRPr="008A396D">
        <w:rPr>
          <w:color w:val="FFFFFF" w:themeColor="background1"/>
          <w:sz w:val="4"/>
        </w:rPr>
        <w:instrText>, 1999; Fainstein, 2000; Fernándes, 2003; De-Mattos &lt;i&gt;et al.&lt;/i&gt;, 2004; Cordero, 2008; Frug, 2010; Talen, 2012; Gil, 2013; McAuslan, 2013; Azuela and Ángel, 2014; Hall, 2014; Braverman, N. K. Blomley, &lt;i&gt;et al.&lt;/i&gt;, 2014; Bennett and Layard, 2015; Fainstein and Defilipis, 2016; Hengstermann and Hartmann, 2018; Hubbard and Prior, 2018; Layard, 2018)","manualFormatting":"(Frug, 1999, 2010; Fainstein, 2000; FernIándes, 2003; De-Mattos et al., 2004; Cordero, 2008; Talen, 2012; Gil, 2013; McAuslan, 2013; Azuela and Ángel, 2014; Hall, 2014; Braverman et al., 2014; Bennett and Layard, 2015; Fainstein and Defilipis, 2016; Layard, 2018)","plainTextFormattedCitation":"(Frug, 1999; Fainstein, 2000; Fernándes, 2003; De-Mattos et al., 2004; Cordero, 2008; Frug, 2010; Talen, 2012; Gil, 2013; McAuslan, 2013; Azuela and Ángel, 2014; Hall, 2014; Braverman, N. K. Blomley, et al., 2014; Bennett and Layard, 2015; Fainstein and Defilipis, 2016; Hengstermann and Hartmann, 2018; Hubbard and Prior, 2018; Layard, 2018)","previouslyFormattedCitation":"(Frug, 1999, 2010; Fainstein, 2000; Fernándes, 2003; De-Mattos &lt;i&gt;et al.&lt;/i&gt;, 2004; Cordero, 2008; Talen, 2012; Gil, 2013; McAuslan, 2013; Azuela and Ángel, 2014; Hall, 2014; Braverman &lt;i&gt;et al.&lt;/i&gt;, 2014; Bennett and Layard, 2015; Fainstein and Defilipis, 2016; Hengstermann and Hartmann, 2018; Hubbard and Prior, 2018; Layard, 2018)"},"properties":{"noteIndex":0},"schema":"https://github.com/citation-style-language/schema/raw/master/csl-citation.json"}</w:instrText>
      </w:r>
      <w:r w:rsidRPr="008A396D">
        <w:rPr>
          <w:color w:val="FFFFFF" w:themeColor="background1"/>
          <w:sz w:val="4"/>
          <w:lang w:val="es-ES"/>
        </w:rPr>
        <w:fldChar w:fldCharType="separate"/>
      </w:r>
      <w:r w:rsidR="00F23485" w:rsidRPr="008A396D">
        <w:rPr>
          <w:noProof/>
          <w:color w:val="FFFFFF" w:themeColor="background1"/>
          <w:sz w:val="4"/>
        </w:rPr>
        <w:t xml:space="preserve">(Frug, 1999, 2010; Fainstein, 2000; FernIándes, 2003; De-Mattos </w:t>
      </w:r>
      <w:r w:rsidR="00F23485" w:rsidRPr="008A396D">
        <w:rPr>
          <w:i/>
          <w:noProof/>
          <w:color w:val="FFFFFF" w:themeColor="background1"/>
          <w:sz w:val="4"/>
        </w:rPr>
        <w:t>et al.</w:t>
      </w:r>
      <w:r w:rsidR="00F23485" w:rsidRPr="008A396D">
        <w:rPr>
          <w:noProof/>
          <w:color w:val="FFFFFF" w:themeColor="background1"/>
          <w:sz w:val="4"/>
        </w:rPr>
        <w:t xml:space="preserve">, 2004; Cordero, 2008; Talen, 2012; Gil, 2013; McAuslan, 2013; Azuela and Ángel, 2014; Hall, 2014; Braverman </w:t>
      </w:r>
      <w:r w:rsidR="00F23485" w:rsidRPr="008A396D">
        <w:rPr>
          <w:i/>
          <w:noProof/>
          <w:color w:val="FFFFFF" w:themeColor="background1"/>
          <w:sz w:val="4"/>
        </w:rPr>
        <w:t>et al.</w:t>
      </w:r>
      <w:r w:rsidR="00F23485" w:rsidRPr="008A396D">
        <w:rPr>
          <w:noProof/>
          <w:color w:val="FFFFFF" w:themeColor="background1"/>
          <w:sz w:val="4"/>
        </w:rPr>
        <w:t>, 2014; Bennett and Layard, 2015; Fainstein and Defilipis, 2016; Layard, 2018)</w:t>
      </w:r>
      <w:r w:rsidRPr="008A396D">
        <w:rPr>
          <w:color w:val="FFFFFF" w:themeColor="background1"/>
          <w:sz w:val="4"/>
          <w:lang w:val="es-ES"/>
        </w:rPr>
        <w:fldChar w:fldCharType="end"/>
      </w:r>
      <w:r w:rsidR="00F23485" w:rsidRPr="008A396D">
        <w:rPr>
          <w:color w:val="FFFFFF" w:themeColor="background1"/>
          <w:sz w:val="4"/>
          <w:lang w:val="es-ES"/>
        </w:rPr>
        <w:fldChar w:fldCharType="begin" w:fldLock="1"/>
      </w:r>
      <w:r w:rsidR="00F23485" w:rsidRPr="008A396D">
        <w:rPr>
          <w:color w:val="FFFFFF" w:themeColor="background1"/>
          <w:sz w:val="4"/>
        </w:rPr>
        <w:instrText>ADDIN CSL_CITATION {"citationItems":[{"id":"ITEM-1","itemData":{"ISBN":"9780804787185","editor":[{"dropping-particle":"","family":"Braverman","given":"Irus","non-dropping-particle":"","parse-names":false,"suffix":""},{"dropping-particle":"","family":"Blomley","given":"Nicholas","non-dropping-particle":"","parse-names":false,"suffix":""},{"dropping-particle":"","family":"Delaney","given":"David","non-dropping-particle":"","parse-names":false,"suffix":""},{"dropping-particle":"","family":"Kedar","given":"Alexandre (Sandy)","non-dropping-particle":"","parse-names":false,"suffix":""}],"id":"ITEM-1","issued":{"date-parts":[["2014"]]},"note":"In this sense, we argue that an emphasis on how certain spatial formations have been given meaning through legal practices could illustrate the ways in which the law serves as a means to produce and reproduce an imaginary spatial cohesion in an urban space of conflicting values and expectations. This imaginary spatial cohesion refers to the way in which the urban poor had to mobilize the law and invoke postrevolutionary ideals in order to find a place in an urban landscape that was planned without them.","publisher":"Stanford University Press","publisher-place":"Standford, California","title":"The Expanding Spaces of Law: A Timely Legal Geography","type":"book"},"uris":["http://www.mendeley.com/documents/?uuid=18ed7a9e-6ace-4dc4-a64a-45bbb98c3661"]}],"mendeley":{"formattedCitation":"(Braverman, N. Blomley, &lt;i&gt;et al.&lt;/i&gt;, 2014)","plainTextFormattedCitation":"(Braverman, N. Blomley, et al., 2014)"},"properties":{"noteIndex":0},"schema":"https://github.com/citation-style-language/schema/raw/master/csl-citation.json"}</w:instrText>
      </w:r>
      <w:r w:rsidR="00F23485" w:rsidRPr="008A396D">
        <w:rPr>
          <w:color w:val="FFFFFF" w:themeColor="background1"/>
          <w:sz w:val="4"/>
          <w:lang w:val="es-ES"/>
        </w:rPr>
        <w:fldChar w:fldCharType="separate"/>
      </w:r>
      <w:r w:rsidR="00F23485" w:rsidRPr="008A396D">
        <w:rPr>
          <w:noProof/>
          <w:color w:val="FFFFFF" w:themeColor="background1"/>
          <w:sz w:val="4"/>
        </w:rPr>
        <w:t xml:space="preserve">(Braverman, N. Blomley, </w:t>
      </w:r>
      <w:r w:rsidR="00F23485" w:rsidRPr="008A396D">
        <w:rPr>
          <w:i/>
          <w:noProof/>
          <w:color w:val="FFFFFF" w:themeColor="background1"/>
          <w:sz w:val="4"/>
        </w:rPr>
        <w:t>et al.</w:t>
      </w:r>
      <w:r w:rsidR="00F23485" w:rsidRPr="008A396D">
        <w:rPr>
          <w:noProof/>
          <w:color w:val="FFFFFF" w:themeColor="background1"/>
          <w:sz w:val="4"/>
        </w:rPr>
        <w:t>, 2014)</w:t>
      </w:r>
      <w:r w:rsidR="00F23485" w:rsidRPr="008A396D">
        <w:rPr>
          <w:color w:val="FFFFFF" w:themeColor="background1"/>
          <w:sz w:val="4"/>
          <w:lang w:val="es-ES"/>
        </w:rPr>
        <w:fldChar w:fldCharType="end"/>
      </w:r>
    </w:p>
    <w:p w14:paraId="0DB768D9" w14:textId="77777777" w:rsidR="006F5726" w:rsidRPr="0063073C" w:rsidRDefault="006F5726" w:rsidP="00615E62">
      <w:pPr>
        <w:spacing w:after="0" w:line="240" w:lineRule="auto"/>
        <w:rPr>
          <w:color w:val="FFFFFF" w:themeColor="background1"/>
        </w:rPr>
      </w:pPr>
    </w:p>
    <w:p w14:paraId="503DF8D0" w14:textId="77777777" w:rsidR="00F23485" w:rsidRPr="00F23485" w:rsidRDefault="006F5726" w:rsidP="00F23485">
      <w:pPr>
        <w:widowControl w:val="0"/>
        <w:autoSpaceDE w:val="0"/>
        <w:autoSpaceDN w:val="0"/>
        <w:adjustRightInd w:val="0"/>
        <w:spacing w:after="0" w:line="240" w:lineRule="auto"/>
        <w:rPr>
          <w:rFonts w:ascii="Calibri" w:hAnsi="Calibri" w:cs="Calibri"/>
          <w:noProof/>
          <w:szCs w:val="24"/>
        </w:rPr>
      </w:pPr>
      <w:r>
        <w:rPr>
          <w:lang w:val="es-ES"/>
        </w:rPr>
        <w:fldChar w:fldCharType="begin" w:fldLock="1"/>
      </w:r>
      <w:r w:rsidRPr="0063073C">
        <w:instrText xml:space="preserve">ADDIN Mendeley Bibliography CSL_BIBLIOGRAPHY </w:instrText>
      </w:r>
      <w:r>
        <w:rPr>
          <w:lang w:val="es-ES"/>
        </w:rPr>
        <w:fldChar w:fldCharType="separate"/>
      </w:r>
      <w:r w:rsidR="00F23485" w:rsidRPr="00F23485">
        <w:rPr>
          <w:rFonts w:ascii="Calibri" w:hAnsi="Calibri" w:cs="Calibri"/>
          <w:noProof/>
          <w:szCs w:val="24"/>
        </w:rPr>
        <w:t xml:space="preserve">Azuela, A. and Ángel, C. M. (eds) (2014) </w:t>
      </w:r>
      <w:r w:rsidR="00F23485" w:rsidRPr="00F23485">
        <w:rPr>
          <w:rFonts w:ascii="Calibri" w:hAnsi="Calibri" w:cs="Calibri"/>
          <w:i/>
          <w:iCs/>
          <w:noProof/>
          <w:szCs w:val="24"/>
        </w:rPr>
        <w:t>Jueces y Conflictos Urbanos en Latinoamérica</w:t>
      </w:r>
      <w:r w:rsidR="00F23485" w:rsidRPr="00F23485">
        <w:rPr>
          <w:rFonts w:ascii="Calibri" w:hAnsi="Calibri" w:cs="Calibri"/>
          <w:noProof/>
          <w:szCs w:val="24"/>
        </w:rPr>
        <w:t>. 1st edn. Ciudad de México: Azuela, Antonio Ángel, Cancino Migue.</w:t>
      </w:r>
    </w:p>
    <w:p w14:paraId="747F354D"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Bennett, L. and Layard, A. (2015) ‘Legal Geography: Becoming Spatial Detectives’, </w:t>
      </w:r>
      <w:r w:rsidRPr="00F23485">
        <w:rPr>
          <w:rFonts w:ascii="Calibri" w:hAnsi="Calibri" w:cs="Calibri"/>
          <w:i/>
          <w:iCs/>
          <w:noProof/>
          <w:szCs w:val="24"/>
        </w:rPr>
        <w:t>Geography Compass</w:t>
      </w:r>
      <w:r w:rsidRPr="00F23485">
        <w:rPr>
          <w:rFonts w:ascii="Calibri" w:hAnsi="Calibri" w:cs="Calibri"/>
          <w:noProof/>
          <w:szCs w:val="24"/>
        </w:rPr>
        <w:t>, 7, pp. 406–422.</w:t>
      </w:r>
    </w:p>
    <w:p w14:paraId="4F2CC0D6"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Braverman, I., Blomley, N. K., </w:t>
      </w:r>
      <w:r w:rsidRPr="00F23485">
        <w:rPr>
          <w:rFonts w:ascii="Calibri" w:hAnsi="Calibri" w:cs="Calibri"/>
          <w:i/>
          <w:iCs/>
          <w:noProof/>
          <w:szCs w:val="24"/>
        </w:rPr>
        <w:t>et al.</w:t>
      </w:r>
      <w:r w:rsidRPr="00F23485">
        <w:rPr>
          <w:rFonts w:ascii="Calibri" w:hAnsi="Calibri" w:cs="Calibri"/>
          <w:noProof/>
          <w:szCs w:val="24"/>
        </w:rPr>
        <w:t xml:space="preserve"> (2014) </w:t>
      </w:r>
      <w:r w:rsidRPr="00F23485">
        <w:rPr>
          <w:rFonts w:ascii="Calibri" w:hAnsi="Calibri" w:cs="Calibri"/>
          <w:i/>
          <w:iCs/>
          <w:noProof/>
          <w:szCs w:val="24"/>
        </w:rPr>
        <w:t>The Expandig Spaces of Law</w:t>
      </w:r>
      <w:r w:rsidRPr="00F23485">
        <w:rPr>
          <w:rFonts w:ascii="Calibri" w:hAnsi="Calibri" w:cs="Calibri"/>
          <w:noProof/>
          <w:szCs w:val="24"/>
        </w:rPr>
        <w:t>. 1st edn. Edited by I. Braverman et al. Standford, California: Stanford University Press.</w:t>
      </w:r>
    </w:p>
    <w:p w14:paraId="02EEA0F2"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Braverman, I., Blomley, N., </w:t>
      </w:r>
      <w:r w:rsidRPr="00F23485">
        <w:rPr>
          <w:rFonts w:ascii="Calibri" w:hAnsi="Calibri" w:cs="Calibri"/>
          <w:i/>
          <w:iCs/>
          <w:noProof/>
          <w:szCs w:val="24"/>
        </w:rPr>
        <w:t>et al.</w:t>
      </w:r>
      <w:r w:rsidRPr="00F23485">
        <w:rPr>
          <w:rFonts w:ascii="Calibri" w:hAnsi="Calibri" w:cs="Calibri"/>
          <w:noProof/>
          <w:szCs w:val="24"/>
        </w:rPr>
        <w:t xml:space="preserve"> (eds) (2014) </w:t>
      </w:r>
      <w:r w:rsidRPr="00F23485">
        <w:rPr>
          <w:rFonts w:ascii="Calibri" w:hAnsi="Calibri" w:cs="Calibri"/>
          <w:i/>
          <w:iCs/>
          <w:noProof/>
          <w:szCs w:val="24"/>
        </w:rPr>
        <w:t>The Expanding Spaces of Law: A Timely Legal Geography</w:t>
      </w:r>
      <w:r w:rsidRPr="00F23485">
        <w:rPr>
          <w:rFonts w:ascii="Calibri" w:hAnsi="Calibri" w:cs="Calibri"/>
          <w:noProof/>
          <w:szCs w:val="24"/>
        </w:rPr>
        <w:t>. Standford, California: Stanford University Press.</w:t>
      </w:r>
    </w:p>
    <w:p w14:paraId="17A1172B"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Cordero, E. (2008) ‘EL DERECHO URBANÍSTICO CHILENO Y LA GARANTÍA CONSTITUCIONAL DE LA PROPIEDAD’, </w:t>
      </w:r>
      <w:r w:rsidRPr="00F23485">
        <w:rPr>
          <w:rFonts w:ascii="Calibri" w:hAnsi="Calibri" w:cs="Calibri"/>
          <w:i/>
          <w:iCs/>
          <w:noProof/>
          <w:szCs w:val="24"/>
        </w:rPr>
        <w:t>Nomos</w:t>
      </w:r>
      <w:r w:rsidRPr="00F23485">
        <w:rPr>
          <w:rFonts w:ascii="Calibri" w:hAnsi="Calibri" w:cs="Calibri"/>
          <w:noProof/>
          <w:szCs w:val="24"/>
        </w:rPr>
        <w:t>, 2, pp. 91–112.</w:t>
      </w:r>
    </w:p>
    <w:p w14:paraId="1A028965"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lastRenderedPageBreak/>
        <w:t xml:space="preserve">De-Mattos, C. </w:t>
      </w:r>
      <w:r w:rsidRPr="00F23485">
        <w:rPr>
          <w:rFonts w:ascii="Calibri" w:hAnsi="Calibri" w:cs="Calibri"/>
          <w:i/>
          <w:iCs/>
          <w:noProof/>
          <w:szCs w:val="24"/>
        </w:rPr>
        <w:t>et al.</w:t>
      </w:r>
      <w:r w:rsidRPr="00F23485">
        <w:rPr>
          <w:rFonts w:ascii="Calibri" w:hAnsi="Calibri" w:cs="Calibri"/>
          <w:noProof/>
          <w:szCs w:val="24"/>
        </w:rPr>
        <w:t xml:space="preserve"> (eds) (2004) </w:t>
      </w:r>
      <w:r w:rsidRPr="00F23485">
        <w:rPr>
          <w:rFonts w:ascii="Calibri" w:hAnsi="Calibri" w:cs="Calibri"/>
          <w:i/>
          <w:iCs/>
          <w:noProof/>
          <w:szCs w:val="24"/>
        </w:rPr>
        <w:t>Santiago en la Globalización: ¿Una nueva ciudad?</w:t>
      </w:r>
      <w:r w:rsidRPr="00F23485">
        <w:rPr>
          <w:rFonts w:ascii="Calibri" w:hAnsi="Calibri" w:cs="Calibri"/>
          <w:noProof/>
          <w:szCs w:val="24"/>
        </w:rPr>
        <w:t xml:space="preserve"> Santiago, Chile: Ediciones SUR - Libros EURE.</w:t>
      </w:r>
    </w:p>
    <w:p w14:paraId="6E5D97B8"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Fainstein, S. (2000) ‘New Directions in Planning Theory’, </w:t>
      </w:r>
      <w:r w:rsidRPr="00F23485">
        <w:rPr>
          <w:rFonts w:ascii="Calibri" w:hAnsi="Calibri" w:cs="Calibri"/>
          <w:i/>
          <w:iCs/>
          <w:noProof/>
          <w:szCs w:val="24"/>
        </w:rPr>
        <w:t>Urban Affairs Review</w:t>
      </w:r>
      <w:r w:rsidRPr="00F23485">
        <w:rPr>
          <w:rFonts w:ascii="Calibri" w:hAnsi="Calibri" w:cs="Calibri"/>
          <w:noProof/>
          <w:szCs w:val="24"/>
        </w:rPr>
        <w:t>, 35(4), pp. 451–478. doi: 10.1177/107808740003500401.</w:t>
      </w:r>
    </w:p>
    <w:p w14:paraId="1792583F"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Fainstein, S. S. and Defilipis, J. (eds) (2016) </w:t>
      </w:r>
      <w:r w:rsidRPr="00F23485">
        <w:rPr>
          <w:rFonts w:ascii="Calibri" w:hAnsi="Calibri" w:cs="Calibri"/>
          <w:i/>
          <w:iCs/>
          <w:noProof/>
          <w:szCs w:val="24"/>
        </w:rPr>
        <w:t>Readings in Planning Theory</w:t>
      </w:r>
      <w:r w:rsidRPr="00F23485">
        <w:rPr>
          <w:rFonts w:ascii="Calibri" w:hAnsi="Calibri" w:cs="Calibri"/>
          <w:noProof/>
          <w:szCs w:val="24"/>
        </w:rPr>
        <w:t>. 4th edn. West Sussex: Wiley Blackwell.</w:t>
      </w:r>
    </w:p>
    <w:p w14:paraId="645019AA"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Fernándes, E. (2003) ‘Del Código Civil al Estatuto de la Ciudad: algunas notas sobre la trayectoria del Derecho Urbanístico en Brasil’, </w:t>
      </w:r>
      <w:r w:rsidRPr="00F23485">
        <w:rPr>
          <w:rFonts w:ascii="Calibri" w:hAnsi="Calibri" w:cs="Calibri"/>
          <w:i/>
          <w:iCs/>
          <w:noProof/>
          <w:szCs w:val="24"/>
        </w:rPr>
        <w:t>Eure</w:t>
      </w:r>
      <w:r w:rsidRPr="00F23485">
        <w:rPr>
          <w:rFonts w:ascii="Calibri" w:hAnsi="Calibri" w:cs="Calibri"/>
          <w:noProof/>
          <w:szCs w:val="24"/>
        </w:rPr>
        <w:t>, 29, pp. 63–78. doi: 10.4067/S0250-71612003008700005.</w:t>
      </w:r>
    </w:p>
    <w:p w14:paraId="6FF5721C"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Frug, G. (1999) </w:t>
      </w:r>
      <w:r w:rsidRPr="00F23485">
        <w:rPr>
          <w:rFonts w:ascii="Calibri" w:hAnsi="Calibri" w:cs="Calibri"/>
          <w:i/>
          <w:iCs/>
          <w:noProof/>
          <w:szCs w:val="24"/>
        </w:rPr>
        <w:t>City Making: Building communities without building walls</w:t>
      </w:r>
      <w:r w:rsidRPr="00F23485">
        <w:rPr>
          <w:rFonts w:ascii="Calibri" w:hAnsi="Calibri" w:cs="Calibri"/>
          <w:noProof/>
          <w:szCs w:val="24"/>
        </w:rPr>
        <w:t>. 4th edn. Princeton: Princeton University Press.</w:t>
      </w:r>
    </w:p>
    <w:p w14:paraId="362796D5"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Frug, G. (2010) ‘A " rule of law " for cities’.</w:t>
      </w:r>
    </w:p>
    <w:p w14:paraId="27D22A32"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Gil, D. (2013) ‘The Political Fragmentation of Land Use Governance in Santiago , Chile , and its Implications for Socioeconomic Residential Segregation’, (August), pp. 119–164.</w:t>
      </w:r>
    </w:p>
    <w:p w14:paraId="44A97836"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Hall, P. (2014) </w:t>
      </w:r>
      <w:r w:rsidRPr="00F23485">
        <w:rPr>
          <w:rFonts w:ascii="Calibri" w:hAnsi="Calibri" w:cs="Calibri"/>
          <w:i/>
          <w:iCs/>
          <w:noProof/>
          <w:szCs w:val="24"/>
        </w:rPr>
        <w:t>Cities of Tomorrow: an Intellectual History of Urban Planning and Design Since 1880</w:t>
      </w:r>
      <w:r w:rsidRPr="00F23485">
        <w:rPr>
          <w:rFonts w:ascii="Calibri" w:hAnsi="Calibri" w:cs="Calibri"/>
          <w:noProof/>
          <w:szCs w:val="24"/>
        </w:rPr>
        <w:t>. 4th edn. Oxford: Wiley Blackwell. doi: 10.1007/BF00219324.</w:t>
      </w:r>
    </w:p>
    <w:p w14:paraId="3475845D"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Hengstermann, A. and Hartmann, T. (2018) </w:t>
      </w:r>
      <w:r w:rsidRPr="00F23485">
        <w:rPr>
          <w:rFonts w:ascii="Calibri" w:hAnsi="Calibri" w:cs="Calibri"/>
          <w:i/>
          <w:iCs/>
          <w:noProof/>
          <w:szCs w:val="24"/>
        </w:rPr>
        <w:t>Instruments of land policy</w:t>
      </w:r>
      <w:r w:rsidRPr="00F23485">
        <w:rPr>
          <w:rFonts w:ascii="Calibri" w:hAnsi="Calibri" w:cs="Calibri"/>
          <w:noProof/>
          <w:szCs w:val="24"/>
        </w:rPr>
        <w:t xml:space="preserve">, </w:t>
      </w:r>
      <w:r w:rsidRPr="00F23485">
        <w:rPr>
          <w:rFonts w:ascii="Calibri" w:hAnsi="Calibri" w:cs="Calibri"/>
          <w:i/>
          <w:iCs/>
          <w:noProof/>
          <w:szCs w:val="24"/>
        </w:rPr>
        <w:t>Instruments of Land Policy</w:t>
      </w:r>
      <w:r w:rsidRPr="00F23485">
        <w:rPr>
          <w:rFonts w:ascii="Calibri" w:hAnsi="Calibri" w:cs="Calibri"/>
          <w:noProof/>
          <w:szCs w:val="24"/>
        </w:rPr>
        <w:t>. doi: 10.4324/9781315511658-3.</w:t>
      </w:r>
    </w:p>
    <w:p w14:paraId="1B63A7F9"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Hubbard, P. and Prior, J. (2018) ‘Law, pliability and the multicultural city: Documenting planning law in action’, </w:t>
      </w:r>
      <w:r w:rsidRPr="00F23485">
        <w:rPr>
          <w:rFonts w:ascii="Calibri" w:hAnsi="Calibri" w:cs="Calibri"/>
          <w:i/>
          <w:iCs/>
          <w:noProof/>
          <w:szCs w:val="24"/>
        </w:rPr>
        <w:t>Geographical Journal</w:t>
      </w:r>
      <w:r w:rsidRPr="00F23485">
        <w:rPr>
          <w:rFonts w:ascii="Calibri" w:hAnsi="Calibri" w:cs="Calibri"/>
          <w:noProof/>
          <w:szCs w:val="24"/>
        </w:rPr>
        <w:t>, 184(1), pp. 53–63. doi: 10.1111/geoj.12212.</w:t>
      </w:r>
    </w:p>
    <w:p w14:paraId="592FBA2C"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Layard, A. (2018) ‘Property and planning law in England: facilitating and countering gentrification’, </w:t>
      </w:r>
      <w:r w:rsidRPr="00F23485">
        <w:rPr>
          <w:rFonts w:ascii="Calibri" w:hAnsi="Calibri" w:cs="Calibri"/>
          <w:i/>
          <w:iCs/>
          <w:noProof/>
          <w:szCs w:val="24"/>
        </w:rPr>
        <w:t>Handbook of Gentrification Studies</w:t>
      </w:r>
      <w:r w:rsidRPr="00F23485">
        <w:rPr>
          <w:rFonts w:ascii="Calibri" w:hAnsi="Calibri" w:cs="Calibri"/>
          <w:noProof/>
          <w:szCs w:val="24"/>
        </w:rPr>
        <w:t>, pp. 444–466. doi: 10.4337/9781785361746.00038.</w:t>
      </w:r>
    </w:p>
    <w:p w14:paraId="1706051A" w14:textId="77777777" w:rsidR="00F23485" w:rsidRPr="00F23485" w:rsidRDefault="00F23485" w:rsidP="00F23485">
      <w:pPr>
        <w:widowControl w:val="0"/>
        <w:autoSpaceDE w:val="0"/>
        <w:autoSpaceDN w:val="0"/>
        <w:adjustRightInd w:val="0"/>
        <w:spacing w:after="0" w:line="240" w:lineRule="auto"/>
        <w:rPr>
          <w:rFonts w:ascii="Calibri" w:hAnsi="Calibri" w:cs="Calibri"/>
          <w:noProof/>
          <w:szCs w:val="24"/>
        </w:rPr>
      </w:pPr>
      <w:r w:rsidRPr="00F23485">
        <w:rPr>
          <w:rFonts w:ascii="Calibri" w:hAnsi="Calibri" w:cs="Calibri"/>
          <w:noProof/>
          <w:szCs w:val="24"/>
        </w:rPr>
        <w:t xml:space="preserve">McAuslan, P. (2013) ‘Towards a just planning system: The contribution of law’, </w:t>
      </w:r>
      <w:r w:rsidRPr="00F23485">
        <w:rPr>
          <w:rFonts w:ascii="Calibri" w:hAnsi="Calibri" w:cs="Calibri"/>
          <w:i/>
          <w:iCs/>
          <w:noProof/>
          <w:szCs w:val="24"/>
        </w:rPr>
        <w:t>Journal of Planning and Environment Law</w:t>
      </w:r>
      <w:r w:rsidRPr="00F23485">
        <w:rPr>
          <w:rFonts w:ascii="Calibri" w:hAnsi="Calibri" w:cs="Calibri"/>
          <w:noProof/>
          <w:szCs w:val="24"/>
        </w:rPr>
        <w:t>, (2), pp. 145–157.</w:t>
      </w:r>
    </w:p>
    <w:p w14:paraId="5CFE6520" w14:textId="77777777" w:rsidR="00F23485" w:rsidRPr="00F23485" w:rsidRDefault="00F23485" w:rsidP="00F23485">
      <w:pPr>
        <w:widowControl w:val="0"/>
        <w:autoSpaceDE w:val="0"/>
        <w:autoSpaceDN w:val="0"/>
        <w:adjustRightInd w:val="0"/>
        <w:spacing w:after="0" w:line="240" w:lineRule="auto"/>
        <w:rPr>
          <w:rFonts w:ascii="Calibri" w:hAnsi="Calibri" w:cs="Calibri"/>
          <w:noProof/>
        </w:rPr>
      </w:pPr>
      <w:r w:rsidRPr="00F23485">
        <w:rPr>
          <w:rFonts w:ascii="Calibri" w:hAnsi="Calibri" w:cs="Calibri"/>
          <w:noProof/>
          <w:szCs w:val="24"/>
        </w:rPr>
        <w:t xml:space="preserve">Talen, E. (2012) </w:t>
      </w:r>
      <w:r w:rsidRPr="00F23485">
        <w:rPr>
          <w:rFonts w:ascii="Calibri" w:hAnsi="Calibri" w:cs="Calibri"/>
          <w:i/>
          <w:iCs/>
          <w:noProof/>
          <w:szCs w:val="24"/>
        </w:rPr>
        <w:t>City Rules: how regulations affect urban form</w:t>
      </w:r>
      <w:r w:rsidRPr="00F23485">
        <w:rPr>
          <w:rFonts w:ascii="Calibri" w:hAnsi="Calibri" w:cs="Calibri"/>
          <w:noProof/>
          <w:szCs w:val="24"/>
        </w:rPr>
        <w:t>. London: Island Press.</w:t>
      </w:r>
    </w:p>
    <w:p w14:paraId="267A5CAF" w14:textId="77777777" w:rsidR="008E2421" w:rsidRPr="002E5414" w:rsidRDefault="006F5726" w:rsidP="008E2421">
      <w:pPr>
        <w:widowControl w:val="0"/>
        <w:autoSpaceDE w:val="0"/>
        <w:autoSpaceDN w:val="0"/>
        <w:adjustRightInd w:val="0"/>
        <w:spacing w:after="0" w:line="240" w:lineRule="auto"/>
        <w:rPr>
          <w:lang w:val="es-ES"/>
        </w:rPr>
      </w:pPr>
      <w:r>
        <w:rPr>
          <w:lang w:val="es-ES"/>
        </w:rPr>
        <w:fldChar w:fldCharType="end"/>
      </w:r>
      <w:r w:rsidR="008E2421" w:rsidRPr="002E5414">
        <w:rPr>
          <w:lang w:val="es-ES"/>
        </w:rPr>
        <w:t xml:space="preserve"> </w:t>
      </w:r>
    </w:p>
    <w:p w14:paraId="3F427A2B" w14:textId="77777777" w:rsidR="006F5726" w:rsidRPr="002E5414" w:rsidRDefault="006F5726" w:rsidP="00615E62">
      <w:pPr>
        <w:spacing w:after="0" w:line="240" w:lineRule="auto"/>
        <w:rPr>
          <w:lang w:val="es-ES"/>
        </w:rPr>
      </w:pPr>
    </w:p>
    <w:sectPr w:rsidR="006F5726" w:rsidRPr="002E5414" w:rsidSect="00F70E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544AA" w14:textId="77777777" w:rsidR="009C46DC" w:rsidRDefault="009C46DC" w:rsidP="002F1EE3">
      <w:pPr>
        <w:spacing w:after="0" w:line="240" w:lineRule="auto"/>
      </w:pPr>
      <w:r>
        <w:separator/>
      </w:r>
    </w:p>
  </w:endnote>
  <w:endnote w:type="continuationSeparator" w:id="0">
    <w:p w14:paraId="46F007D0" w14:textId="77777777" w:rsidR="009C46DC" w:rsidRDefault="009C46DC" w:rsidP="002F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B2ED5" w14:textId="77777777" w:rsidR="009C46DC" w:rsidRDefault="009C46DC" w:rsidP="002F1EE3">
      <w:pPr>
        <w:spacing w:after="0" w:line="240" w:lineRule="auto"/>
      </w:pPr>
      <w:r>
        <w:separator/>
      </w:r>
    </w:p>
  </w:footnote>
  <w:footnote w:type="continuationSeparator" w:id="0">
    <w:p w14:paraId="424001FC" w14:textId="77777777" w:rsidR="009C46DC" w:rsidRDefault="009C46DC" w:rsidP="002F1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2CD9"/>
    <w:multiLevelType w:val="hybridMultilevel"/>
    <w:tmpl w:val="7C5A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9CB"/>
    <w:multiLevelType w:val="hybridMultilevel"/>
    <w:tmpl w:val="45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B702F"/>
    <w:multiLevelType w:val="hybridMultilevel"/>
    <w:tmpl w:val="0A6641FA"/>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A118A"/>
    <w:multiLevelType w:val="hybridMultilevel"/>
    <w:tmpl w:val="F40E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15844"/>
    <w:multiLevelType w:val="hybridMultilevel"/>
    <w:tmpl w:val="D94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76CBA"/>
    <w:multiLevelType w:val="hybridMultilevel"/>
    <w:tmpl w:val="CE30951C"/>
    <w:lvl w:ilvl="0" w:tplc="340A0001">
      <w:start w:val="1"/>
      <w:numFmt w:val="bullet"/>
      <w:lvlText w:val=""/>
      <w:lvlJc w:val="left"/>
      <w:pPr>
        <w:ind w:left="720" w:hanging="360"/>
      </w:pPr>
      <w:rPr>
        <w:rFonts w:ascii="Symbol" w:hAnsi="Symbol" w:hint="default"/>
      </w:rPr>
    </w:lvl>
    <w:lvl w:ilvl="1" w:tplc="DD6031B6">
      <w:numFmt w:val="bullet"/>
      <w:lvlText w:val="•"/>
      <w:lvlJc w:val="left"/>
      <w:pPr>
        <w:ind w:left="1440" w:hanging="360"/>
      </w:pPr>
      <w:rPr>
        <w:rFonts w:ascii="Calibri" w:eastAsiaTheme="minorHAnsi" w:hAnsi="Calibri"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9C6797C"/>
    <w:multiLevelType w:val="hybridMultilevel"/>
    <w:tmpl w:val="DA34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F6FE0"/>
    <w:multiLevelType w:val="hybridMultilevel"/>
    <w:tmpl w:val="45380418"/>
    <w:lvl w:ilvl="0" w:tplc="B624F1E4">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333E"/>
    <w:multiLevelType w:val="hybridMultilevel"/>
    <w:tmpl w:val="3BAE137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37F1B"/>
    <w:multiLevelType w:val="hybridMultilevel"/>
    <w:tmpl w:val="FD06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21A89"/>
    <w:multiLevelType w:val="hybridMultilevel"/>
    <w:tmpl w:val="42540018"/>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10"/>
  </w:num>
  <w:num w:numId="7">
    <w:abstractNumId w:val="8"/>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1tDQ0MzQwNzS3NLJQ0lEKTi0uzszPAykwqQUAqo1MfywAAAA="/>
  </w:docVars>
  <w:rsids>
    <w:rsidRoot w:val="008D5FE7"/>
    <w:rsid w:val="00014A22"/>
    <w:rsid w:val="00026404"/>
    <w:rsid w:val="00033000"/>
    <w:rsid w:val="00041BAB"/>
    <w:rsid w:val="00086609"/>
    <w:rsid w:val="00091747"/>
    <w:rsid w:val="000A4B83"/>
    <w:rsid w:val="000A536C"/>
    <w:rsid w:val="000E6B31"/>
    <w:rsid w:val="0010276C"/>
    <w:rsid w:val="00144844"/>
    <w:rsid w:val="00175F01"/>
    <w:rsid w:val="001B3C02"/>
    <w:rsid w:val="001D6E75"/>
    <w:rsid w:val="002124F9"/>
    <w:rsid w:val="00237816"/>
    <w:rsid w:val="00253000"/>
    <w:rsid w:val="0025498E"/>
    <w:rsid w:val="00286BB4"/>
    <w:rsid w:val="002B06BB"/>
    <w:rsid w:val="002C0C8F"/>
    <w:rsid w:val="002E202A"/>
    <w:rsid w:val="002E5414"/>
    <w:rsid w:val="002F1EE3"/>
    <w:rsid w:val="00362DB0"/>
    <w:rsid w:val="00377F36"/>
    <w:rsid w:val="00391412"/>
    <w:rsid w:val="003A71B9"/>
    <w:rsid w:val="003E00CA"/>
    <w:rsid w:val="00414DF7"/>
    <w:rsid w:val="004256C6"/>
    <w:rsid w:val="00426D48"/>
    <w:rsid w:val="00426E5D"/>
    <w:rsid w:val="004312F2"/>
    <w:rsid w:val="004A0B08"/>
    <w:rsid w:val="004B71B8"/>
    <w:rsid w:val="004F0956"/>
    <w:rsid w:val="00540D56"/>
    <w:rsid w:val="005571ED"/>
    <w:rsid w:val="00573454"/>
    <w:rsid w:val="0057567F"/>
    <w:rsid w:val="0058773B"/>
    <w:rsid w:val="005B2F14"/>
    <w:rsid w:val="00604B1B"/>
    <w:rsid w:val="00615E62"/>
    <w:rsid w:val="0063073C"/>
    <w:rsid w:val="00637DBC"/>
    <w:rsid w:val="00657E33"/>
    <w:rsid w:val="00663D9A"/>
    <w:rsid w:val="00675727"/>
    <w:rsid w:val="00685B98"/>
    <w:rsid w:val="006A734A"/>
    <w:rsid w:val="006B52C7"/>
    <w:rsid w:val="006E3436"/>
    <w:rsid w:val="006F5726"/>
    <w:rsid w:val="0072611D"/>
    <w:rsid w:val="007664BD"/>
    <w:rsid w:val="00792573"/>
    <w:rsid w:val="00792E66"/>
    <w:rsid w:val="007C2F7D"/>
    <w:rsid w:val="00802821"/>
    <w:rsid w:val="008323D6"/>
    <w:rsid w:val="00832659"/>
    <w:rsid w:val="00882F7E"/>
    <w:rsid w:val="00895635"/>
    <w:rsid w:val="00897400"/>
    <w:rsid w:val="008A0141"/>
    <w:rsid w:val="008A2741"/>
    <w:rsid w:val="008A396D"/>
    <w:rsid w:val="008A72BF"/>
    <w:rsid w:val="008B4BB5"/>
    <w:rsid w:val="008C2EED"/>
    <w:rsid w:val="008D5FE7"/>
    <w:rsid w:val="008E2421"/>
    <w:rsid w:val="0095658E"/>
    <w:rsid w:val="0095720A"/>
    <w:rsid w:val="0096493D"/>
    <w:rsid w:val="00966C8C"/>
    <w:rsid w:val="00971B50"/>
    <w:rsid w:val="009B7955"/>
    <w:rsid w:val="009C46DC"/>
    <w:rsid w:val="009D2BE6"/>
    <w:rsid w:val="00A4692F"/>
    <w:rsid w:val="00A47DE2"/>
    <w:rsid w:val="00A6300C"/>
    <w:rsid w:val="00AB5717"/>
    <w:rsid w:val="00B03ABF"/>
    <w:rsid w:val="00B04A35"/>
    <w:rsid w:val="00B13C8B"/>
    <w:rsid w:val="00B37F47"/>
    <w:rsid w:val="00B67A9E"/>
    <w:rsid w:val="00B72503"/>
    <w:rsid w:val="00B859A5"/>
    <w:rsid w:val="00BB11D3"/>
    <w:rsid w:val="00BE7567"/>
    <w:rsid w:val="00BF1E5E"/>
    <w:rsid w:val="00C169C1"/>
    <w:rsid w:val="00C40B9B"/>
    <w:rsid w:val="00C62381"/>
    <w:rsid w:val="00CB04F9"/>
    <w:rsid w:val="00CB086D"/>
    <w:rsid w:val="00CE6D39"/>
    <w:rsid w:val="00CE7E92"/>
    <w:rsid w:val="00D42927"/>
    <w:rsid w:val="00D86975"/>
    <w:rsid w:val="00DA3DD0"/>
    <w:rsid w:val="00DB795F"/>
    <w:rsid w:val="00DC55D4"/>
    <w:rsid w:val="00DE5B2B"/>
    <w:rsid w:val="00DF5988"/>
    <w:rsid w:val="00E67D66"/>
    <w:rsid w:val="00EE6BEB"/>
    <w:rsid w:val="00F23485"/>
    <w:rsid w:val="00F3142F"/>
    <w:rsid w:val="00F37ED4"/>
    <w:rsid w:val="00F70E58"/>
    <w:rsid w:val="00FC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6B3EA"/>
  <w15:docId w15:val="{5E6DAF03-6A36-4746-A6D7-A9B88A8F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BE75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A47DE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Prrafodelista">
    <w:name w:val="List Paragraph"/>
    <w:basedOn w:val="Normal"/>
    <w:uiPriority w:val="34"/>
    <w:qFormat/>
    <w:rsid w:val="00033000"/>
    <w:pPr>
      <w:ind w:left="720"/>
      <w:contextualSpacing/>
    </w:pPr>
  </w:style>
  <w:style w:type="character" w:styleId="Refdecomentario">
    <w:name w:val="annotation reference"/>
    <w:basedOn w:val="Fuentedeprrafopredeter"/>
    <w:uiPriority w:val="99"/>
    <w:semiHidden/>
    <w:unhideWhenUsed/>
    <w:rsid w:val="00253000"/>
    <w:rPr>
      <w:sz w:val="16"/>
      <w:szCs w:val="16"/>
    </w:rPr>
  </w:style>
  <w:style w:type="paragraph" w:styleId="Textocomentario">
    <w:name w:val="annotation text"/>
    <w:basedOn w:val="Normal"/>
    <w:link w:val="TextocomentarioCar"/>
    <w:uiPriority w:val="99"/>
    <w:semiHidden/>
    <w:unhideWhenUsed/>
    <w:rsid w:val="002530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00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53000"/>
    <w:rPr>
      <w:b/>
      <w:bCs/>
    </w:rPr>
  </w:style>
  <w:style w:type="character" w:customStyle="1" w:styleId="AsuntodelcomentarioCar">
    <w:name w:val="Asunto del comentario Car"/>
    <w:basedOn w:val="TextocomentarioCar"/>
    <w:link w:val="Asuntodelcomentario"/>
    <w:uiPriority w:val="99"/>
    <w:semiHidden/>
    <w:rsid w:val="00253000"/>
    <w:rPr>
      <w:b/>
      <w:bCs/>
      <w:sz w:val="20"/>
      <w:szCs w:val="20"/>
      <w:lang w:val="en-GB"/>
    </w:rPr>
  </w:style>
  <w:style w:type="paragraph" w:styleId="Textodeglobo">
    <w:name w:val="Balloon Text"/>
    <w:basedOn w:val="Normal"/>
    <w:link w:val="TextodegloboCar"/>
    <w:uiPriority w:val="99"/>
    <w:semiHidden/>
    <w:unhideWhenUsed/>
    <w:rsid w:val="002530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000"/>
    <w:rPr>
      <w:rFonts w:ascii="Tahoma" w:hAnsi="Tahoma" w:cs="Tahoma"/>
      <w:sz w:val="16"/>
      <w:szCs w:val="16"/>
      <w:lang w:val="en-GB"/>
    </w:rPr>
  </w:style>
  <w:style w:type="character" w:styleId="Hipervnculo">
    <w:name w:val="Hyperlink"/>
    <w:basedOn w:val="Fuentedeprrafopredeter"/>
    <w:uiPriority w:val="99"/>
    <w:unhideWhenUsed/>
    <w:rsid w:val="00792573"/>
    <w:rPr>
      <w:color w:val="0000FF" w:themeColor="hyperlink"/>
      <w:u w:val="single"/>
    </w:rPr>
  </w:style>
  <w:style w:type="paragraph" w:styleId="Textonotapie">
    <w:name w:val="footnote text"/>
    <w:basedOn w:val="Normal"/>
    <w:link w:val="TextonotapieCar"/>
    <w:uiPriority w:val="99"/>
    <w:semiHidden/>
    <w:unhideWhenUsed/>
    <w:rsid w:val="002F1E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1EE3"/>
    <w:rPr>
      <w:sz w:val="20"/>
      <w:szCs w:val="20"/>
      <w:lang w:val="en-GB"/>
    </w:rPr>
  </w:style>
  <w:style w:type="character" w:styleId="Refdenotaalpie">
    <w:name w:val="footnote reference"/>
    <w:basedOn w:val="Fuentedeprrafopredeter"/>
    <w:uiPriority w:val="99"/>
    <w:semiHidden/>
    <w:unhideWhenUsed/>
    <w:rsid w:val="002F1EE3"/>
    <w:rPr>
      <w:vertAlign w:val="superscript"/>
    </w:rPr>
  </w:style>
  <w:style w:type="character" w:styleId="Refdenotaalfinal">
    <w:name w:val="endnote reference"/>
    <w:basedOn w:val="Fuentedeprrafopredeter"/>
    <w:uiPriority w:val="99"/>
    <w:semiHidden/>
    <w:unhideWhenUsed/>
    <w:rsid w:val="008A3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59A4-14F3-410F-BCEA-B242930A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7970</Words>
  <Characters>43835</Characters>
  <Application>Microsoft Office Word</Application>
  <DocSecurity>0</DocSecurity>
  <Lines>365</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Vivienda y Urbanismo</Company>
  <LinksUpToDate>false</LinksUpToDate>
  <CharactersWithSpaces>51702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VBS</dc:creator>
  <cp:keywords/>
  <dc:description/>
  <cp:lastModifiedBy>Vicente Burgos Salas (vburgos)</cp:lastModifiedBy>
  <cp:revision>2</cp:revision>
  <cp:lastPrinted>2014-06-24T16:13:00Z</cp:lastPrinted>
  <dcterms:created xsi:type="dcterms:W3CDTF">2022-01-17T16:02:00Z</dcterms:created>
  <dcterms:modified xsi:type="dcterms:W3CDTF">2022-01-17T16:02:00Z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36554345-a759-360b-8096-50b4b45be81d</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