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88"/>
      </w:tblGrid>
      <w:tr w:rsidR="00B46287">
        <w:tc>
          <w:tcPr>
            <w:tcW w:w="8494" w:type="dxa"/>
            <w:gridSpan w:val="2"/>
            <w:shd w:val="clear" w:color="auto" w:fill="D9D9D9"/>
          </w:tcPr>
          <w:p w:rsidR="00B46287" w:rsidRDefault="0084168E">
            <w:pPr>
              <w:jc w:val="center"/>
              <w:rPr>
                <w:rFonts w:ascii="Arial Narrow" w:eastAsia="Arial Narrow" w:hAnsi="Arial Narrow" w:cs="Arial Narrow"/>
              </w:rPr>
            </w:pPr>
            <w:bookmarkStart w:id="0" w:name="_GoBack"/>
            <w:bookmarkEnd w:id="0"/>
            <w:r>
              <w:rPr>
                <w:rFonts w:ascii="Arial Narrow" w:eastAsia="Arial Narrow" w:hAnsi="Arial Narrow" w:cs="Arial Narrow"/>
              </w:rPr>
              <w:t>PROGRAMA</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 xml:space="preserve">Nombre de la actividad curricular: </w:t>
            </w:r>
          </w:p>
        </w:tc>
        <w:tc>
          <w:tcPr>
            <w:tcW w:w="4388" w:type="dxa"/>
            <w:vAlign w:val="center"/>
          </w:tcPr>
          <w:p w:rsidR="00B46287" w:rsidRDefault="00030499">
            <w:pPr>
              <w:ind w:left="447" w:hanging="283"/>
              <w:rPr>
                <w:rFonts w:ascii="Arial Narrow" w:eastAsia="Arial Narrow" w:hAnsi="Arial Narrow" w:cs="Arial Narrow"/>
              </w:rPr>
            </w:pPr>
            <w:r w:rsidRPr="00030499">
              <w:rPr>
                <w:rFonts w:ascii="Arial Narrow" w:eastAsia="Arial Narrow" w:hAnsi="Arial Narrow" w:cs="Arial Narrow"/>
              </w:rPr>
              <w:t>Taller 3: Modelación del espacio habitable</w:t>
            </w:r>
            <w:r>
              <w:rPr>
                <w:rFonts w:ascii="Arial Narrow" w:eastAsia="Arial Narrow" w:hAnsi="Arial Narrow" w:cs="Arial Narrow"/>
              </w:rPr>
              <w:t xml:space="preserve"> </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Nombre de la sección:</w:t>
            </w:r>
          </w:p>
        </w:tc>
        <w:tc>
          <w:tcPr>
            <w:tcW w:w="4388" w:type="dxa"/>
            <w:vAlign w:val="center"/>
          </w:tcPr>
          <w:p w:rsidR="00B46287" w:rsidRDefault="0084168E">
            <w:pPr>
              <w:ind w:left="447" w:hanging="283"/>
              <w:rPr>
                <w:rFonts w:ascii="Arial Narrow" w:eastAsia="Arial Narrow" w:hAnsi="Arial Narrow" w:cs="Arial Narrow"/>
              </w:rPr>
            </w:pPr>
            <w:r>
              <w:rPr>
                <w:rFonts w:ascii="Arial Narrow" w:eastAsia="Arial Narrow" w:hAnsi="Arial Narrow" w:cs="Arial Narrow"/>
              </w:rPr>
              <w:t>AUA</w:t>
            </w:r>
            <w:r w:rsidR="00030499">
              <w:rPr>
                <w:rFonts w:ascii="Arial Narrow" w:eastAsia="Arial Narrow" w:hAnsi="Arial Narrow" w:cs="Arial Narrow"/>
              </w:rPr>
              <w:t>3</w:t>
            </w:r>
            <w:r>
              <w:rPr>
                <w:rFonts w:ascii="Arial Narrow" w:eastAsia="Arial Narrow" w:hAnsi="Arial Narrow" w:cs="Arial Narrow"/>
              </w:rPr>
              <w:t>000</w:t>
            </w:r>
            <w:r w:rsidR="00030499">
              <w:rPr>
                <w:rFonts w:ascii="Arial Narrow" w:eastAsia="Arial Narrow" w:hAnsi="Arial Narrow" w:cs="Arial Narrow"/>
              </w:rPr>
              <w:t>1</w:t>
            </w:r>
            <w:r>
              <w:rPr>
                <w:rFonts w:ascii="Arial Narrow" w:eastAsia="Arial Narrow" w:hAnsi="Arial Narrow" w:cs="Arial Narrow"/>
              </w:rPr>
              <w:t>-</w:t>
            </w:r>
            <w:r w:rsidR="00030499">
              <w:rPr>
                <w:rFonts w:ascii="Arial Narrow" w:eastAsia="Arial Narrow" w:hAnsi="Arial Narrow" w:cs="Arial Narrow"/>
              </w:rPr>
              <w:t>4</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Profesores:</w:t>
            </w:r>
          </w:p>
        </w:tc>
        <w:tc>
          <w:tcPr>
            <w:tcW w:w="4388" w:type="dxa"/>
            <w:vAlign w:val="center"/>
          </w:tcPr>
          <w:p w:rsidR="00B46287" w:rsidRDefault="0084168E">
            <w:pPr>
              <w:ind w:left="447" w:hanging="283"/>
              <w:rPr>
                <w:rFonts w:ascii="Arial Narrow" w:eastAsia="Arial Narrow" w:hAnsi="Arial Narrow" w:cs="Arial Narrow"/>
              </w:rPr>
            </w:pPr>
            <w:r>
              <w:rPr>
                <w:rFonts w:ascii="Arial Narrow" w:eastAsia="Arial Narrow" w:hAnsi="Arial Narrow" w:cs="Arial Narrow"/>
              </w:rPr>
              <w:t>Daniel Opazo</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Ayudante:</w:t>
            </w:r>
          </w:p>
        </w:tc>
        <w:tc>
          <w:tcPr>
            <w:tcW w:w="4388" w:type="dxa"/>
            <w:vAlign w:val="center"/>
          </w:tcPr>
          <w:p w:rsidR="00B46287" w:rsidRDefault="000A4E65">
            <w:pPr>
              <w:ind w:left="447" w:hanging="283"/>
              <w:rPr>
                <w:rFonts w:ascii="Arial Narrow" w:eastAsia="Arial Narrow" w:hAnsi="Arial Narrow" w:cs="Arial Narrow"/>
              </w:rPr>
            </w:pPr>
            <w:r>
              <w:rPr>
                <w:rFonts w:ascii="Arial Narrow" w:eastAsia="Arial Narrow" w:hAnsi="Arial Narrow" w:cs="Arial Narrow"/>
              </w:rPr>
              <w:t>Romina Fuentes</w:t>
            </w:r>
          </w:p>
        </w:tc>
      </w:tr>
      <w:tr w:rsidR="00B46287" w:rsidRPr="006B751A">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 xml:space="preserve">Nombre de la actividad curricular en inglés: </w:t>
            </w:r>
          </w:p>
        </w:tc>
        <w:tc>
          <w:tcPr>
            <w:tcW w:w="4388" w:type="dxa"/>
            <w:vAlign w:val="center"/>
          </w:tcPr>
          <w:p w:rsidR="00B46287" w:rsidRPr="00D56D68" w:rsidRDefault="00D56D68">
            <w:pPr>
              <w:ind w:left="447" w:hanging="283"/>
              <w:rPr>
                <w:rFonts w:ascii="Arial Narrow" w:eastAsia="Arial Narrow" w:hAnsi="Arial Narrow" w:cs="Arial Narrow"/>
                <w:lang w:val="en-US"/>
              </w:rPr>
            </w:pPr>
            <w:r w:rsidRPr="00D56D68">
              <w:rPr>
                <w:rFonts w:ascii="Arial Narrow" w:eastAsia="Arial Narrow" w:hAnsi="Arial Narrow" w:cs="Arial Narrow"/>
                <w:lang w:val="en-US"/>
              </w:rPr>
              <w:t xml:space="preserve">Studio 3: </w:t>
            </w:r>
            <w:r>
              <w:rPr>
                <w:rFonts w:ascii="Arial Narrow" w:eastAsia="Arial Narrow" w:hAnsi="Arial Narrow" w:cs="Arial Narrow"/>
                <w:lang w:val="en-US"/>
              </w:rPr>
              <w:t>M</w:t>
            </w:r>
            <w:r w:rsidRPr="00D56D68">
              <w:rPr>
                <w:rFonts w:ascii="Arial Narrow" w:eastAsia="Arial Narrow" w:hAnsi="Arial Narrow" w:cs="Arial Narrow"/>
                <w:lang w:val="en-US"/>
              </w:rPr>
              <w:t>odeling</w:t>
            </w:r>
            <w:r w:rsidR="0084168E" w:rsidRPr="00D56D68">
              <w:rPr>
                <w:rFonts w:ascii="Arial Narrow" w:eastAsia="Arial Narrow" w:hAnsi="Arial Narrow" w:cs="Arial Narrow"/>
                <w:lang w:val="en-US"/>
              </w:rPr>
              <w:t xml:space="preserve"> of </w:t>
            </w:r>
            <w:r w:rsidRPr="00D56D68">
              <w:rPr>
                <w:rFonts w:ascii="Arial Narrow" w:eastAsia="Arial Narrow" w:hAnsi="Arial Narrow" w:cs="Arial Narrow"/>
                <w:lang w:val="en-US"/>
              </w:rPr>
              <w:t xml:space="preserve">the </w:t>
            </w:r>
            <w:r>
              <w:rPr>
                <w:rFonts w:ascii="Arial Narrow" w:eastAsia="Arial Narrow" w:hAnsi="Arial Narrow" w:cs="Arial Narrow"/>
                <w:lang w:val="en-US"/>
              </w:rPr>
              <w:t>dwelling space</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Unidad Académica:</w:t>
            </w:r>
          </w:p>
        </w:tc>
        <w:tc>
          <w:tcPr>
            <w:tcW w:w="4388" w:type="dxa"/>
            <w:vAlign w:val="center"/>
          </w:tcPr>
          <w:p w:rsidR="00B46287" w:rsidRDefault="0084168E">
            <w:pPr>
              <w:ind w:left="179" w:hanging="15"/>
              <w:rPr>
                <w:rFonts w:ascii="Arial Narrow" w:eastAsia="Arial Narrow" w:hAnsi="Arial Narrow" w:cs="Arial Narrow"/>
              </w:rPr>
            </w:pPr>
            <w:r>
              <w:rPr>
                <w:rFonts w:ascii="Arial Narrow" w:eastAsia="Arial Narrow" w:hAnsi="Arial Narrow" w:cs="Arial Narrow"/>
              </w:rPr>
              <w:t>Escuela de Pregrado / Carrera de Arquitectura</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Horas de trabajo de estudiante:</w:t>
            </w:r>
          </w:p>
        </w:tc>
        <w:tc>
          <w:tcPr>
            <w:tcW w:w="4388" w:type="dxa"/>
            <w:vAlign w:val="center"/>
          </w:tcPr>
          <w:p w:rsidR="00B46287" w:rsidRDefault="00EC40CD">
            <w:pPr>
              <w:ind w:left="447" w:hanging="283"/>
              <w:rPr>
                <w:rFonts w:ascii="Arial Narrow" w:eastAsia="Arial Narrow" w:hAnsi="Arial Narrow" w:cs="Arial Narrow"/>
              </w:rPr>
            </w:pPr>
            <w:r>
              <w:rPr>
                <w:rFonts w:ascii="Arial Narrow" w:eastAsia="Arial Narrow" w:hAnsi="Arial Narrow" w:cs="Arial Narrow"/>
              </w:rPr>
              <w:t>13</w:t>
            </w:r>
            <w:r w:rsidR="0084168E">
              <w:rPr>
                <w:rFonts w:ascii="Arial Narrow" w:eastAsia="Arial Narrow" w:hAnsi="Arial Narrow" w:cs="Arial Narrow"/>
              </w:rPr>
              <w:t>,5 horas/semana</w:t>
            </w:r>
          </w:p>
        </w:tc>
      </w:tr>
      <w:tr w:rsidR="00B46287">
        <w:trPr>
          <w:trHeight w:val="620"/>
        </w:trPr>
        <w:tc>
          <w:tcPr>
            <w:tcW w:w="4106" w:type="dxa"/>
            <w:vAlign w:val="center"/>
          </w:tcPr>
          <w:p w:rsidR="00B46287" w:rsidRDefault="0084168E">
            <w:pPr>
              <w:pBdr>
                <w:top w:val="nil"/>
                <w:left w:val="nil"/>
                <w:bottom w:val="nil"/>
                <w:right w:val="nil"/>
                <w:between w:val="nil"/>
              </w:pBdr>
              <w:ind w:left="447" w:hanging="283"/>
              <w:rPr>
                <w:rFonts w:ascii="Arial Narrow" w:eastAsia="Arial Narrow" w:hAnsi="Arial Narrow" w:cs="Arial Narrow"/>
                <w:color w:val="000000"/>
              </w:rPr>
            </w:pPr>
            <w:r>
              <w:rPr>
                <w:rFonts w:ascii="Arial Narrow" w:eastAsia="Arial Narrow" w:hAnsi="Arial Narrow" w:cs="Arial Narrow"/>
                <w:color w:val="000000"/>
              </w:rPr>
              <w:t>7.1 Horas directas (en aula):</w:t>
            </w:r>
          </w:p>
        </w:tc>
        <w:tc>
          <w:tcPr>
            <w:tcW w:w="4388" w:type="dxa"/>
            <w:vAlign w:val="center"/>
          </w:tcPr>
          <w:p w:rsidR="00B46287" w:rsidRDefault="00EC40CD">
            <w:pPr>
              <w:ind w:left="447" w:hanging="283"/>
              <w:rPr>
                <w:rFonts w:ascii="Arial Narrow" w:eastAsia="Arial Narrow" w:hAnsi="Arial Narrow" w:cs="Arial Narrow"/>
              </w:rPr>
            </w:pPr>
            <w:r>
              <w:rPr>
                <w:rFonts w:ascii="Arial Narrow" w:eastAsia="Arial Narrow" w:hAnsi="Arial Narrow" w:cs="Arial Narrow"/>
              </w:rPr>
              <w:t>8</w:t>
            </w:r>
            <w:r w:rsidR="0084168E">
              <w:rPr>
                <w:rFonts w:ascii="Arial Narrow" w:eastAsia="Arial Narrow" w:hAnsi="Arial Narrow" w:cs="Arial Narrow"/>
              </w:rPr>
              <w:t xml:space="preserve"> horas</w:t>
            </w:r>
            <w:r w:rsidR="002915A2">
              <w:rPr>
                <w:rFonts w:ascii="Arial Narrow" w:eastAsia="Arial Narrow" w:hAnsi="Arial Narrow" w:cs="Arial Narrow"/>
              </w:rPr>
              <w:t xml:space="preserve"> (lunes y jueves en la tarde)</w:t>
            </w:r>
          </w:p>
        </w:tc>
      </w:tr>
      <w:tr w:rsidR="00B46287">
        <w:trPr>
          <w:trHeight w:val="620"/>
        </w:trPr>
        <w:tc>
          <w:tcPr>
            <w:tcW w:w="4106" w:type="dxa"/>
            <w:vAlign w:val="center"/>
          </w:tcPr>
          <w:p w:rsidR="00B46287" w:rsidRDefault="0084168E">
            <w:pPr>
              <w:pBdr>
                <w:top w:val="nil"/>
                <w:left w:val="nil"/>
                <w:bottom w:val="nil"/>
                <w:right w:val="nil"/>
                <w:between w:val="nil"/>
              </w:pBdr>
              <w:ind w:left="447" w:hanging="283"/>
              <w:rPr>
                <w:rFonts w:ascii="Arial Narrow" w:eastAsia="Arial Narrow" w:hAnsi="Arial Narrow" w:cs="Arial Narrow"/>
                <w:color w:val="000000"/>
              </w:rPr>
            </w:pPr>
            <w:r>
              <w:rPr>
                <w:rFonts w:ascii="Arial Narrow" w:eastAsia="Arial Narrow" w:hAnsi="Arial Narrow" w:cs="Arial Narrow"/>
                <w:color w:val="000000"/>
              </w:rPr>
              <w:t>7.2 Horas indirectas (autónomas):</w:t>
            </w:r>
          </w:p>
        </w:tc>
        <w:tc>
          <w:tcPr>
            <w:tcW w:w="4388" w:type="dxa"/>
            <w:vAlign w:val="center"/>
          </w:tcPr>
          <w:p w:rsidR="00B46287" w:rsidRDefault="00EC40CD">
            <w:pPr>
              <w:ind w:left="447" w:hanging="283"/>
              <w:rPr>
                <w:rFonts w:ascii="Arial Narrow" w:eastAsia="Arial Narrow" w:hAnsi="Arial Narrow" w:cs="Arial Narrow"/>
              </w:rPr>
            </w:pPr>
            <w:r>
              <w:rPr>
                <w:rFonts w:ascii="Arial Narrow" w:eastAsia="Arial Narrow" w:hAnsi="Arial Narrow" w:cs="Arial Narrow"/>
              </w:rPr>
              <w:t>5</w:t>
            </w:r>
            <w:r w:rsidR="0084168E">
              <w:rPr>
                <w:rFonts w:ascii="Arial Narrow" w:eastAsia="Arial Narrow" w:hAnsi="Arial Narrow" w:cs="Arial Narrow"/>
              </w:rPr>
              <w:t>,5 horas</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Tipo de créditos:</w:t>
            </w:r>
          </w:p>
        </w:tc>
        <w:tc>
          <w:tcPr>
            <w:tcW w:w="4388" w:type="dxa"/>
            <w:vAlign w:val="center"/>
          </w:tcPr>
          <w:p w:rsidR="00B46287" w:rsidRDefault="0084168E">
            <w:pPr>
              <w:ind w:left="447" w:hanging="283"/>
              <w:rPr>
                <w:rFonts w:ascii="Arial Narrow" w:eastAsia="Arial Narrow" w:hAnsi="Arial Narrow" w:cs="Arial Narrow"/>
              </w:rPr>
            </w:pPr>
            <w:r>
              <w:rPr>
                <w:rFonts w:ascii="Arial Narrow" w:eastAsia="Arial Narrow" w:hAnsi="Arial Narrow" w:cs="Arial Narrow"/>
              </w:rPr>
              <w:t xml:space="preserve">Sistema de Créditos Transferibles </w:t>
            </w:r>
          </w:p>
        </w:tc>
      </w:tr>
      <w:tr w:rsidR="00B46287">
        <w:trPr>
          <w:trHeight w:val="620"/>
        </w:trPr>
        <w:tc>
          <w:tcPr>
            <w:tcW w:w="4106" w:type="dxa"/>
            <w:vAlign w:val="center"/>
          </w:tcPr>
          <w:p w:rsidR="00B46287" w:rsidRDefault="0084168E">
            <w:pPr>
              <w:numPr>
                <w:ilvl w:val="0"/>
                <w:numId w:val="4"/>
              </w:numPr>
              <w:pBdr>
                <w:top w:val="nil"/>
                <w:left w:val="nil"/>
                <w:bottom w:val="nil"/>
                <w:right w:val="nil"/>
                <w:between w:val="nil"/>
              </w:pBdr>
              <w:ind w:left="447" w:hanging="283"/>
              <w:rPr>
                <w:color w:val="000000"/>
              </w:rPr>
            </w:pPr>
            <w:r>
              <w:rPr>
                <w:rFonts w:ascii="Arial Narrow" w:eastAsia="Arial Narrow" w:hAnsi="Arial Narrow" w:cs="Arial Narrow"/>
                <w:color w:val="000000"/>
              </w:rPr>
              <w:t xml:space="preserve">Número de créditos SCT – Chile: </w:t>
            </w:r>
          </w:p>
        </w:tc>
        <w:tc>
          <w:tcPr>
            <w:tcW w:w="4388" w:type="dxa"/>
            <w:vAlign w:val="center"/>
          </w:tcPr>
          <w:p w:rsidR="00B46287" w:rsidRDefault="00EC40CD">
            <w:pPr>
              <w:ind w:left="447" w:hanging="283"/>
              <w:rPr>
                <w:rFonts w:ascii="Arial Narrow" w:eastAsia="Arial Narrow" w:hAnsi="Arial Narrow" w:cs="Arial Narrow"/>
              </w:rPr>
            </w:pPr>
            <w:r>
              <w:rPr>
                <w:rFonts w:ascii="Arial Narrow" w:eastAsia="Arial Narrow" w:hAnsi="Arial Narrow" w:cs="Arial Narrow"/>
              </w:rPr>
              <w:t>9</w:t>
            </w:r>
          </w:p>
        </w:tc>
      </w:tr>
    </w:tbl>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t>Propósito general del curso</w:t>
            </w:r>
          </w:p>
        </w:tc>
      </w:tr>
      <w:tr w:rsidR="00B46287">
        <w:tc>
          <w:tcPr>
            <w:tcW w:w="8494" w:type="dxa"/>
          </w:tcPr>
          <w:p w:rsidR="00B46287" w:rsidRDefault="00C15B1A" w:rsidP="00C15B1A">
            <w:pPr>
              <w:spacing w:line="276" w:lineRule="auto"/>
              <w:rPr>
                <w:rFonts w:ascii="Arial Narrow" w:eastAsia="Arial Narrow" w:hAnsi="Arial Narrow" w:cs="Arial Narrow"/>
              </w:rPr>
            </w:pPr>
            <w:r w:rsidRPr="00C15B1A">
              <w:rPr>
                <w:rFonts w:ascii="Arial Narrow" w:eastAsia="Arial Narrow" w:hAnsi="Arial Narrow" w:cs="Arial Narrow"/>
              </w:rPr>
              <w:t>Este espacio formativo pretende habilitar al estudiante para RELACIONAR Y ARTICULAR jerárquicamente las componentes y variables de las problemáticas de proyecto relacionadas con la habitabilidad, realizando una modelación que conduzca a la propuesta arquitectónica.</w:t>
            </w:r>
          </w:p>
          <w:p w:rsidR="003A7A93" w:rsidRDefault="003A7A93" w:rsidP="00C15B1A">
            <w:pPr>
              <w:spacing w:line="276" w:lineRule="auto"/>
              <w:rPr>
                <w:rFonts w:ascii="Arial Narrow" w:eastAsia="Arial Narrow" w:hAnsi="Arial Narrow" w:cs="Arial Narrow"/>
              </w:rPr>
            </w:pPr>
          </w:p>
          <w:p w:rsidR="003A7A93" w:rsidRDefault="003A7A93" w:rsidP="00C15B1A">
            <w:pPr>
              <w:spacing w:line="276" w:lineRule="auto"/>
              <w:rPr>
                <w:rFonts w:ascii="Arial Narrow" w:eastAsia="Arial Narrow" w:hAnsi="Arial Narrow" w:cs="Arial Narrow"/>
              </w:rPr>
            </w:pPr>
            <w:r>
              <w:rPr>
                <w:rFonts w:ascii="Arial Narrow" w:eastAsia="Arial Narrow" w:hAnsi="Arial Narrow" w:cs="Arial Narrow"/>
              </w:rPr>
              <w:t xml:space="preserve">El taller se construye a partir de una articulación entre las escuelas de arquitectura de las universidades estatales presentes en Santiago: la Universidad de Santiago de Chile (USACH), la Universidad Tecnológica Metropolitana (UTEM) y la Universidad de Chile, para abordar una pregunta relacionada con las movilizaciones sociales, </w:t>
            </w:r>
            <w:r w:rsidR="00E55DE9">
              <w:rPr>
                <w:rFonts w:ascii="Arial Narrow" w:eastAsia="Arial Narrow" w:hAnsi="Arial Narrow" w:cs="Arial Narrow"/>
              </w:rPr>
              <w:t xml:space="preserve">el proceso constituyente y </w:t>
            </w:r>
            <w:r>
              <w:rPr>
                <w:rFonts w:ascii="Arial Narrow" w:eastAsia="Arial Narrow" w:hAnsi="Arial Narrow" w:cs="Arial Narrow"/>
              </w:rPr>
              <w:t>el cuestionamiento al sistema que organiza la vida en Chile y sus ciudades.</w:t>
            </w:r>
            <w:r w:rsidR="00F81C8C">
              <w:rPr>
                <w:rFonts w:ascii="Arial Narrow" w:eastAsia="Arial Narrow" w:hAnsi="Arial Narrow" w:cs="Arial Narrow"/>
              </w:rPr>
              <w:t xml:space="preserve"> La pregunta consiste en cuál (o cuáles) puede ser la forma arquitectónica del cabildo, del lugar de la asamblea, cómo imaginamos un espacio para que las comunidades se reúnan, debatan, se organicen, festejen, resuelvan problemas y planteen metas en común. El taller trabajará en la comuna de Quilicura, participando en instancias de conversación con las comunidades, para luego desarrollar propuestas de proyecto que puedan servir a organizaciones de base y al municipio para la formulación de proyectos de equipamiento e infraestructura</w:t>
            </w:r>
            <w:r w:rsidR="002915A2">
              <w:rPr>
                <w:rFonts w:ascii="Arial Narrow" w:eastAsia="Arial Narrow" w:hAnsi="Arial Narrow" w:cs="Arial Narrow"/>
              </w:rPr>
              <w:t>.</w:t>
            </w:r>
          </w:p>
          <w:p w:rsidR="00810D96" w:rsidRDefault="00810D96" w:rsidP="00C15B1A">
            <w:pPr>
              <w:spacing w:line="276" w:lineRule="auto"/>
              <w:rPr>
                <w:rFonts w:ascii="Arial Narrow" w:eastAsia="Arial Narrow" w:hAnsi="Arial Narrow" w:cs="Arial Narrow"/>
              </w:rPr>
            </w:pPr>
          </w:p>
          <w:p w:rsidR="00D94EA1" w:rsidRDefault="00D94EA1" w:rsidP="00C15B1A">
            <w:pPr>
              <w:spacing w:line="276" w:lineRule="auto"/>
              <w:rPr>
                <w:rFonts w:ascii="Arial Narrow" w:eastAsia="Arial Narrow" w:hAnsi="Arial Narrow" w:cs="Arial Narrow"/>
              </w:rPr>
            </w:pPr>
            <w:r>
              <w:rPr>
                <w:rFonts w:ascii="Arial Narrow" w:eastAsia="Arial Narrow" w:hAnsi="Arial Narrow" w:cs="Arial Narrow"/>
              </w:rPr>
              <w:t xml:space="preserve">La propuesta del curso supone varios desafíos: por una parte, trabajar en un territorio en el contexto de un año marcado no sólo por el proceso constituyente y las elecciones municipales, sino también por el </w:t>
            </w:r>
            <w:r>
              <w:rPr>
                <w:rFonts w:ascii="Arial Narrow" w:eastAsia="Arial Narrow" w:hAnsi="Arial Narrow" w:cs="Arial Narrow"/>
              </w:rPr>
              <w:lastRenderedPageBreak/>
              <w:t>proceso de formulación del Plan Regulador Comunal y del Plan de Desarrollo Comunal. Por otra, establecer dinámicas de trabajo en grupo que permitan a las y los estudiantes contribuir al trabajo de equipo y a la vez completar aprendizajes personales, pertinentes para el nivel de la carrera que cursan.</w:t>
            </w:r>
          </w:p>
          <w:p w:rsidR="00D94EA1" w:rsidRDefault="00D94EA1" w:rsidP="00C15B1A">
            <w:pPr>
              <w:spacing w:line="276" w:lineRule="auto"/>
              <w:rPr>
                <w:rFonts w:ascii="Arial Narrow" w:eastAsia="Arial Narrow" w:hAnsi="Arial Narrow" w:cs="Arial Narrow"/>
              </w:rPr>
            </w:pPr>
          </w:p>
          <w:p w:rsidR="00DD6880" w:rsidRDefault="00DD6880" w:rsidP="00C15B1A">
            <w:pPr>
              <w:spacing w:line="276" w:lineRule="auto"/>
              <w:rPr>
                <w:rFonts w:ascii="Arial Narrow" w:eastAsia="Arial Narrow" w:hAnsi="Arial Narrow" w:cs="Arial Narrow"/>
              </w:rPr>
            </w:pPr>
            <w:r>
              <w:rPr>
                <w:rFonts w:ascii="Arial Narrow" w:eastAsia="Arial Narrow" w:hAnsi="Arial Narrow" w:cs="Arial Narrow"/>
              </w:rPr>
              <w:t>El trabajo del taller por lo tanto se moverá desde la escala del plan a la del proyecto, problematizando y reflexionando sobre la noción del equipo de proyecto (por una parte, el equipo ampliado a la comunidad, los no expertos; por otra, los roles dentro del equipo de expertos -en este caso, los estudiantes).</w:t>
            </w:r>
          </w:p>
          <w:p w:rsidR="00DD6880" w:rsidRDefault="00DD6880" w:rsidP="00C15B1A">
            <w:pPr>
              <w:spacing w:line="276" w:lineRule="auto"/>
              <w:rPr>
                <w:rFonts w:ascii="Arial Narrow" w:eastAsia="Arial Narrow" w:hAnsi="Arial Narrow" w:cs="Arial Narrow"/>
              </w:rPr>
            </w:pPr>
            <w:r>
              <w:rPr>
                <w:rFonts w:ascii="Arial Narrow" w:eastAsia="Arial Narrow" w:hAnsi="Arial Narrow" w:cs="Arial Narrow"/>
              </w:rPr>
              <w:t xml:space="preserve"> </w:t>
            </w:r>
          </w:p>
          <w:p w:rsidR="00810D96" w:rsidRDefault="00810D96" w:rsidP="00C15B1A">
            <w:pPr>
              <w:spacing w:line="276" w:lineRule="auto"/>
              <w:rPr>
                <w:rFonts w:ascii="Arial Narrow" w:eastAsia="Arial Narrow" w:hAnsi="Arial Narrow" w:cs="Arial Narrow"/>
              </w:rPr>
            </w:pPr>
            <w:r w:rsidRPr="00810D96">
              <w:rPr>
                <w:rFonts w:ascii="Arial Narrow" w:eastAsia="Arial Narrow" w:hAnsi="Arial Narrow" w:cs="Arial Narrow"/>
              </w:rPr>
              <w:t>E</w:t>
            </w:r>
            <w:r w:rsidR="00D94EA1">
              <w:rPr>
                <w:rFonts w:ascii="Arial Narrow" w:eastAsia="Arial Narrow" w:hAnsi="Arial Narrow" w:cs="Arial Narrow"/>
              </w:rPr>
              <w:t>n lo relativo a aprendizajes disciplinares, e</w:t>
            </w:r>
            <w:r w:rsidRPr="00810D96">
              <w:rPr>
                <w:rFonts w:ascii="Arial Narrow" w:eastAsia="Arial Narrow" w:hAnsi="Arial Narrow" w:cs="Arial Narrow"/>
              </w:rPr>
              <w:t xml:space="preserve">l taller considera como su asunto principal el proceso de definición de un problema de diseño y la relación entre éste y las nociones de programa y </w:t>
            </w:r>
            <w:r w:rsidR="00D94EA1">
              <w:rPr>
                <w:rFonts w:ascii="Arial Narrow" w:eastAsia="Arial Narrow" w:hAnsi="Arial Narrow" w:cs="Arial Narrow"/>
              </w:rPr>
              <w:t>lugar</w:t>
            </w:r>
            <w:r w:rsidRPr="00810D96">
              <w:rPr>
                <w:rFonts w:ascii="Arial Narrow" w:eastAsia="Arial Narrow" w:hAnsi="Arial Narrow" w:cs="Arial Narrow"/>
              </w:rPr>
              <w:t>. En segundo lugar, se preocupa del estudio de referentes en arquitectura como una práctica reflexiva y sistemática</w:t>
            </w:r>
            <w:r w:rsidR="00BF27D7">
              <w:rPr>
                <w:rFonts w:ascii="Arial Narrow" w:eastAsia="Arial Narrow" w:hAnsi="Arial Narrow" w:cs="Arial Narrow"/>
              </w:rPr>
              <w:t xml:space="preserve">, que contribuye a la formación de arquitectas y arquitectos sobre un horizonte cultural definido y </w:t>
            </w:r>
            <w:r w:rsidR="00AB314F">
              <w:rPr>
                <w:rFonts w:ascii="Arial Narrow" w:eastAsia="Arial Narrow" w:hAnsi="Arial Narrow" w:cs="Arial Narrow"/>
              </w:rPr>
              <w:t>consistente</w:t>
            </w:r>
            <w:r w:rsidRPr="00810D96">
              <w:rPr>
                <w:rFonts w:ascii="Arial Narrow" w:eastAsia="Arial Narrow" w:hAnsi="Arial Narrow" w:cs="Arial Narrow"/>
              </w:rPr>
              <w:t>.</w:t>
            </w:r>
          </w:p>
        </w:tc>
      </w:tr>
    </w:tbl>
    <w:tbl>
      <w:tblPr>
        <w:tblStyle w:val="a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lastRenderedPageBreak/>
              <w:t>Resultados de Aprendizaje:</w:t>
            </w:r>
          </w:p>
        </w:tc>
      </w:tr>
      <w:tr w:rsidR="00B46287">
        <w:tc>
          <w:tcPr>
            <w:tcW w:w="8494" w:type="dxa"/>
          </w:tcPr>
          <w:p w:rsidR="00814D87" w:rsidRPr="00814D87" w:rsidRDefault="00814D87" w:rsidP="00814D87">
            <w:pPr>
              <w:spacing w:line="276" w:lineRule="auto"/>
              <w:rPr>
                <w:rFonts w:ascii="Arial Narrow" w:eastAsia="Arial Narrow" w:hAnsi="Arial Narrow" w:cs="Arial Narrow"/>
              </w:rPr>
            </w:pPr>
            <w:r w:rsidRPr="00814D87">
              <w:rPr>
                <w:rFonts w:ascii="Arial Narrow" w:eastAsia="Arial Narrow" w:hAnsi="Arial Narrow" w:cs="Arial Narrow"/>
              </w:rPr>
              <w:t xml:space="preserve">Reconocer ESTRATEGIAS PROYECTUALES y/o METODOLOGICAS eligiendo medios para formular una hipótesis o idea de proyecto arquitectónico, urbano y/o territorial. </w:t>
            </w:r>
          </w:p>
          <w:p w:rsidR="00814D87" w:rsidRPr="00814D87" w:rsidRDefault="00814D87" w:rsidP="00814D87">
            <w:pPr>
              <w:spacing w:line="276" w:lineRule="auto"/>
              <w:rPr>
                <w:rFonts w:ascii="Arial Narrow" w:eastAsia="Arial Narrow" w:hAnsi="Arial Narrow" w:cs="Arial Narrow"/>
              </w:rPr>
            </w:pPr>
            <w:r w:rsidRPr="00814D87">
              <w:rPr>
                <w:rFonts w:ascii="Arial Narrow" w:eastAsia="Arial Narrow" w:hAnsi="Arial Narrow" w:cs="Arial Narrow"/>
              </w:rPr>
              <w:t xml:space="preserve">FORMULAR un PROGRAMA arquitectónico para diseñar una propuesta coherente de habitabilidad. </w:t>
            </w:r>
          </w:p>
          <w:p w:rsidR="00814D87" w:rsidRPr="00814D87" w:rsidRDefault="00814D87" w:rsidP="00814D87">
            <w:pPr>
              <w:spacing w:line="276" w:lineRule="auto"/>
              <w:rPr>
                <w:rFonts w:ascii="Arial Narrow" w:eastAsia="Arial Narrow" w:hAnsi="Arial Narrow" w:cs="Arial Narrow"/>
              </w:rPr>
            </w:pPr>
            <w:r w:rsidRPr="00814D87">
              <w:rPr>
                <w:rFonts w:ascii="Arial Narrow" w:eastAsia="Arial Narrow" w:hAnsi="Arial Narrow" w:cs="Arial Narrow"/>
              </w:rPr>
              <w:t xml:space="preserve">PROYECTAR articulando la materia con variables espaciales, estructurales y tecnológicas de manera innovadora para un contexto determinado. </w:t>
            </w:r>
          </w:p>
          <w:p w:rsidR="00B46287" w:rsidRDefault="00814D87" w:rsidP="00814D87">
            <w:pPr>
              <w:spacing w:line="276" w:lineRule="auto"/>
              <w:rPr>
                <w:rFonts w:ascii="Arial Narrow" w:eastAsia="Arial Narrow" w:hAnsi="Arial Narrow" w:cs="Arial Narrow"/>
              </w:rPr>
            </w:pPr>
            <w:r w:rsidRPr="00814D87">
              <w:rPr>
                <w:rFonts w:ascii="Arial Narrow" w:eastAsia="Arial Narrow" w:hAnsi="Arial Narrow" w:cs="Arial Narrow"/>
              </w:rPr>
              <w:t>ELABORAR PLANOS TECNICOS en escalas y medios que sean pertinentes para comunicar efectivamente el proyecto a terceros.</w:t>
            </w:r>
          </w:p>
        </w:tc>
      </w:tr>
    </w:tbl>
    <w:tbl>
      <w:tblPr>
        <w:tblStyle w:val="a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01"/>
        <w:gridCol w:w="5664"/>
      </w:tblGrid>
      <w:tr w:rsidR="00B46287">
        <w:tc>
          <w:tcPr>
            <w:tcW w:w="8494" w:type="dxa"/>
            <w:gridSpan w:val="3"/>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t xml:space="preserve">Calendario  </w:t>
            </w:r>
          </w:p>
        </w:tc>
      </w:tr>
      <w:tr w:rsidR="00B46287">
        <w:tc>
          <w:tcPr>
            <w:tcW w:w="1129" w:type="dxa"/>
          </w:tcPr>
          <w:p w:rsidR="00B46287" w:rsidRDefault="0084168E">
            <w:pPr>
              <w:rPr>
                <w:rFonts w:ascii="Arial Narrow" w:eastAsia="Arial Narrow" w:hAnsi="Arial Narrow" w:cs="Arial Narrow"/>
              </w:rPr>
            </w:pPr>
            <w:r>
              <w:rPr>
                <w:rFonts w:ascii="Arial Narrow" w:eastAsia="Arial Narrow" w:hAnsi="Arial Narrow" w:cs="Arial Narrow"/>
              </w:rPr>
              <w:t>Semana</w:t>
            </w:r>
          </w:p>
        </w:tc>
        <w:tc>
          <w:tcPr>
            <w:tcW w:w="1701" w:type="dxa"/>
          </w:tcPr>
          <w:p w:rsidR="00B46287" w:rsidRDefault="0084168E">
            <w:pPr>
              <w:rPr>
                <w:rFonts w:ascii="Arial Narrow" w:eastAsia="Arial Narrow" w:hAnsi="Arial Narrow" w:cs="Arial Narrow"/>
              </w:rPr>
            </w:pPr>
            <w:r>
              <w:rPr>
                <w:rFonts w:ascii="Arial Narrow" w:eastAsia="Arial Narrow" w:hAnsi="Arial Narrow" w:cs="Arial Narrow"/>
              </w:rPr>
              <w:t>Fecha</w:t>
            </w:r>
          </w:p>
        </w:tc>
        <w:tc>
          <w:tcPr>
            <w:tcW w:w="5664" w:type="dxa"/>
          </w:tcPr>
          <w:p w:rsidR="00B46287" w:rsidRDefault="0084168E">
            <w:pPr>
              <w:rPr>
                <w:rFonts w:ascii="Arial Narrow" w:eastAsia="Arial Narrow" w:hAnsi="Arial Narrow" w:cs="Arial Narrow"/>
              </w:rPr>
            </w:pPr>
            <w:r>
              <w:rPr>
                <w:rFonts w:ascii="Arial Narrow" w:eastAsia="Arial Narrow" w:hAnsi="Arial Narrow" w:cs="Arial Narrow"/>
              </w:rPr>
              <w:t>Contenido/Actividades</w:t>
            </w:r>
          </w:p>
        </w:tc>
      </w:tr>
      <w:tr w:rsidR="00D94EA1" w:rsidTr="00810D96">
        <w:tc>
          <w:tcPr>
            <w:tcW w:w="1129" w:type="dxa"/>
          </w:tcPr>
          <w:p w:rsidR="00D94EA1" w:rsidRDefault="00D94EA1">
            <w:pPr>
              <w:jc w:val="center"/>
              <w:rPr>
                <w:rFonts w:ascii="Arial Narrow" w:eastAsia="Arial Narrow" w:hAnsi="Arial Narrow" w:cs="Arial Narrow"/>
              </w:rPr>
            </w:pPr>
            <w:r>
              <w:rPr>
                <w:rFonts w:ascii="Arial Narrow" w:eastAsia="Arial Narrow" w:hAnsi="Arial Narrow" w:cs="Arial Narrow"/>
              </w:rPr>
              <w:t>1</w:t>
            </w:r>
          </w:p>
        </w:tc>
        <w:tc>
          <w:tcPr>
            <w:tcW w:w="1701" w:type="dxa"/>
            <w:vAlign w:val="center"/>
          </w:tcPr>
          <w:p w:rsidR="00D94EA1" w:rsidRDefault="00D94EA1" w:rsidP="00810D96">
            <w:pPr>
              <w:jc w:val="center"/>
              <w:rPr>
                <w:rFonts w:ascii="Arial Narrow" w:eastAsia="Arial Narrow" w:hAnsi="Arial Narrow" w:cs="Arial Narrow"/>
              </w:rPr>
            </w:pPr>
            <w:r>
              <w:rPr>
                <w:rFonts w:ascii="Arial Narrow" w:eastAsia="Arial Narrow" w:hAnsi="Arial Narrow" w:cs="Arial Narrow"/>
              </w:rPr>
              <w:t>23 y 26 de marzo</w:t>
            </w:r>
          </w:p>
        </w:tc>
        <w:tc>
          <w:tcPr>
            <w:tcW w:w="5664" w:type="dxa"/>
            <w:vAlign w:val="center"/>
          </w:tcPr>
          <w:p w:rsidR="00D94EA1" w:rsidRPr="00810D96" w:rsidRDefault="00D94EA1" w:rsidP="00810D96">
            <w:pPr>
              <w:rPr>
                <w:rFonts w:ascii="Arial Narrow" w:eastAsia="Arial Narrow" w:hAnsi="Arial Narrow" w:cs="Arial Narrow"/>
                <w:lang w:val="es-CL"/>
              </w:rPr>
            </w:pPr>
            <w:r>
              <w:rPr>
                <w:rFonts w:ascii="Arial Narrow" w:eastAsia="Arial Narrow" w:hAnsi="Arial Narrow" w:cs="Arial Narrow"/>
                <w:lang w:val="es-CL"/>
              </w:rPr>
              <w:t>Introducción al tema y visita preliminar a terreno</w:t>
            </w:r>
          </w:p>
        </w:tc>
      </w:tr>
      <w:tr w:rsidR="00810D96" w:rsidT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1</w:t>
            </w:r>
          </w:p>
        </w:tc>
        <w:tc>
          <w:tcPr>
            <w:tcW w:w="1701" w:type="dxa"/>
            <w:vMerge w:val="restart"/>
            <w:vAlign w:val="center"/>
          </w:tcPr>
          <w:p w:rsidR="00810D96" w:rsidRDefault="00D94EA1" w:rsidP="00810D96">
            <w:pPr>
              <w:jc w:val="center"/>
              <w:rPr>
                <w:rFonts w:ascii="Arial Narrow" w:eastAsia="Arial Narrow" w:hAnsi="Arial Narrow" w:cs="Arial Narrow"/>
              </w:rPr>
            </w:pPr>
            <w:r>
              <w:rPr>
                <w:rFonts w:ascii="Arial Narrow" w:eastAsia="Arial Narrow" w:hAnsi="Arial Narrow" w:cs="Arial Narrow"/>
              </w:rPr>
              <w:t>30 de marzo</w:t>
            </w:r>
            <w:r w:rsidR="00810D96">
              <w:rPr>
                <w:rFonts w:ascii="Arial Narrow" w:eastAsia="Arial Narrow" w:hAnsi="Arial Narrow" w:cs="Arial Narrow"/>
              </w:rPr>
              <w:t xml:space="preserve"> al </w:t>
            </w:r>
            <w:r>
              <w:rPr>
                <w:rFonts w:ascii="Arial Narrow" w:eastAsia="Arial Narrow" w:hAnsi="Arial Narrow" w:cs="Arial Narrow"/>
              </w:rPr>
              <w:t>16 de abril</w:t>
            </w:r>
          </w:p>
        </w:tc>
        <w:tc>
          <w:tcPr>
            <w:tcW w:w="5664" w:type="dxa"/>
            <w:vMerge w:val="restart"/>
            <w:vAlign w:val="center"/>
          </w:tcPr>
          <w:p w:rsidR="00810D96" w:rsidRDefault="00D94EA1" w:rsidP="00810D96">
            <w:pPr>
              <w:rPr>
                <w:rFonts w:ascii="Arial Narrow" w:eastAsia="Arial Narrow" w:hAnsi="Arial Narrow" w:cs="Arial Narrow"/>
                <w:lang w:val="es-CL"/>
              </w:rPr>
            </w:pPr>
            <w:r>
              <w:rPr>
                <w:rFonts w:ascii="Arial Narrow" w:eastAsia="Arial Narrow" w:hAnsi="Arial Narrow" w:cs="Arial Narrow"/>
                <w:lang w:val="es-CL"/>
              </w:rPr>
              <w:t>Coordin</w:t>
            </w:r>
            <w:r w:rsidR="00810D96" w:rsidRPr="00810D96">
              <w:rPr>
                <w:rFonts w:ascii="Arial Narrow" w:eastAsia="Arial Narrow" w:hAnsi="Arial Narrow" w:cs="Arial Narrow"/>
                <w:lang w:val="es-CL"/>
              </w:rPr>
              <w:t>ación</w:t>
            </w:r>
            <w:r>
              <w:rPr>
                <w:rFonts w:ascii="Arial Narrow" w:eastAsia="Arial Narrow" w:hAnsi="Arial Narrow" w:cs="Arial Narrow"/>
                <w:lang w:val="es-CL"/>
              </w:rPr>
              <w:t xml:space="preserve"> de los tres talleres; diseño del trabajo en equipos; reuniones con la comunidad y profesionales municipales. </w:t>
            </w:r>
          </w:p>
          <w:p w:rsidR="00155E12" w:rsidRPr="00810D96" w:rsidRDefault="00155E12" w:rsidP="00810D96">
            <w:pPr>
              <w:rPr>
                <w:rFonts w:ascii="Arial Narrow" w:eastAsia="Arial Narrow" w:hAnsi="Arial Narrow" w:cs="Arial Narrow"/>
                <w:lang w:val="es-CL"/>
              </w:rPr>
            </w:pPr>
            <w:r>
              <w:rPr>
                <w:rFonts w:ascii="Arial Narrow" w:eastAsia="Arial Narrow" w:hAnsi="Arial Narrow" w:cs="Arial Narrow"/>
                <w:lang w:val="es-CL"/>
              </w:rPr>
              <w:t xml:space="preserve">Formulación del problema de diseño, en relación con programa y lugar. </w:t>
            </w:r>
          </w:p>
        </w:tc>
      </w:tr>
      <w:tr w:rsid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2</w:t>
            </w:r>
          </w:p>
        </w:tc>
        <w:tc>
          <w:tcPr>
            <w:tcW w:w="1701" w:type="dxa"/>
            <w:vMerge/>
          </w:tcPr>
          <w:p w:rsidR="00810D96" w:rsidRDefault="00810D96">
            <w:pPr>
              <w:jc w:val="center"/>
              <w:rPr>
                <w:rFonts w:ascii="Arial Narrow" w:eastAsia="Arial Narrow" w:hAnsi="Arial Narrow" w:cs="Arial Narrow"/>
              </w:rPr>
            </w:pPr>
          </w:p>
        </w:tc>
        <w:tc>
          <w:tcPr>
            <w:tcW w:w="5664" w:type="dxa"/>
            <w:vMerge/>
          </w:tcPr>
          <w:p w:rsidR="00810D96" w:rsidRDefault="00810D96">
            <w:pPr>
              <w:rPr>
                <w:rFonts w:ascii="Arial Narrow" w:eastAsia="Arial Narrow" w:hAnsi="Arial Narrow" w:cs="Arial Narrow"/>
              </w:rPr>
            </w:pPr>
          </w:p>
        </w:tc>
      </w:tr>
      <w:tr w:rsid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3</w:t>
            </w:r>
          </w:p>
        </w:tc>
        <w:tc>
          <w:tcPr>
            <w:tcW w:w="1701" w:type="dxa"/>
            <w:vMerge/>
          </w:tcPr>
          <w:p w:rsidR="00810D96" w:rsidRDefault="00810D96">
            <w:pPr>
              <w:jc w:val="center"/>
              <w:rPr>
                <w:rFonts w:ascii="Arial Narrow" w:eastAsia="Arial Narrow" w:hAnsi="Arial Narrow" w:cs="Arial Narrow"/>
              </w:rPr>
            </w:pPr>
          </w:p>
        </w:tc>
        <w:tc>
          <w:tcPr>
            <w:tcW w:w="5664" w:type="dxa"/>
            <w:vMerge/>
          </w:tcPr>
          <w:p w:rsidR="00810D96" w:rsidRDefault="00810D96">
            <w:pPr>
              <w:rPr>
                <w:rFonts w:ascii="Arial Narrow" w:eastAsia="Arial Narrow" w:hAnsi="Arial Narrow" w:cs="Arial Narrow"/>
              </w:rPr>
            </w:pPr>
          </w:p>
        </w:tc>
      </w:tr>
      <w:tr w:rsidR="00810D96" w:rsidT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4</w:t>
            </w:r>
          </w:p>
        </w:tc>
        <w:tc>
          <w:tcPr>
            <w:tcW w:w="1701" w:type="dxa"/>
            <w:vMerge w:val="restart"/>
            <w:vAlign w:val="center"/>
          </w:tcPr>
          <w:p w:rsidR="00810D96" w:rsidRDefault="00D94EA1" w:rsidP="00810D96">
            <w:pPr>
              <w:jc w:val="center"/>
              <w:rPr>
                <w:rFonts w:ascii="Arial Narrow" w:eastAsia="Arial Narrow" w:hAnsi="Arial Narrow" w:cs="Arial Narrow"/>
              </w:rPr>
            </w:pPr>
            <w:r>
              <w:rPr>
                <w:rFonts w:ascii="Arial Narrow" w:eastAsia="Arial Narrow" w:hAnsi="Arial Narrow" w:cs="Arial Narrow"/>
              </w:rPr>
              <w:t>20 de abril al 14 de mayo</w:t>
            </w:r>
          </w:p>
        </w:tc>
        <w:tc>
          <w:tcPr>
            <w:tcW w:w="5664" w:type="dxa"/>
            <w:vMerge w:val="restart"/>
            <w:vAlign w:val="center"/>
          </w:tcPr>
          <w:p w:rsidR="00155E12" w:rsidRDefault="00155E12" w:rsidP="00810D96">
            <w:pPr>
              <w:rPr>
                <w:rFonts w:ascii="Arial Narrow" w:eastAsia="Arial Narrow" w:hAnsi="Arial Narrow" w:cs="Arial Narrow"/>
                <w:lang w:val="es-CL"/>
              </w:rPr>
            </w:pPr>
            <w:r>
              <w:rPr>
                <w:rFonts w:ascii="Arial Narrow" w:eastAsia="Arial Narrow" w:hAnsi="Arial Narrow" w:cs="Arial Narrow"/>
                <w:lang w:val="es-CL"/>
              </w:rPr>
              <w:t>Desarrollo de anteproyecto de arquitectura</w:t>
            </w:r>
          </w:p>
          <w:p w:rsidR="00810D96" w:rsidRPr="00810D96" w:rsidRDefault="00155E12" w:rsidP="00810D96">
            <w:pPr>
              <w:rPr>
                <w:rFonts w:ascii="Arial Narrow" w:eastAsia="Arial Narrow" w:hAnsi="Arial Narrow" w:cs="Arial Narrow"/>
                <w:lang w:val="es-CL"/>
              </w:rPr>
            </w:pPr>
            <w:r>
              <w:rPr>
                <w:rFonts w:ascii="Arial Narrow" w:eastAsia="Arial Narrow" w:hAnsi="Arial Narrow" w:cs="Arial Narrow"/>
                <w:lang w:val="es-CL"/>
              </w:rPr>
              <w:t>Presentación a comisión taller integrado</w:t>
            </w:r>
          </w:p>
        </w:tc>
      </w:tr>
      <w:tr w:rsid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5</w:t>
            </w:r>
          </w:p>
        </w:tc>
        <w:tc>
          <w:tcPr>
            <w:tcW w:w="1701" w:type="dxa"/>
            <w:vMerge/>
          </w:tcPr>
          <w:p w:rsidR="00810D96" w:rsidRDefault="00810D96">
            <w:pPr>
              <w:jc w:val="center"/>
              <w:rPr>
                <w:rFonts w:ascii="Arial Narrow" w:eastAsia="Arial Narrow" w:hAnsi="Arial Narrow" w:cs="Arial Narrow"/>
              </w:rPr>
            </w:pPr>
          </w:p>
        </w:tc>
        <w:tc>
          <w:tcPr>
            <w:tcW w:w="5664" w:type="dxa"/>
            <w:vMerge/>
          </w:tcPr>
          <w:p w:rsidR="00810D96" w:rsidRDefault="00810D96">
            <w:pPr>
              <w:rPr>
                <w:rFonts w:ascii="Arial Narrow" w:eastAsia="Arial Narrow" w:hAnsi="Arial Narrow" w:cs="Arial Narrow"/>
              </w:rPr>
            </w:pPr>
          </w:p>
        </w:tc>
      </w:tr>
      <w:tr w:rsid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6</w:t>
            </w:r>
          </w:p>
        </w:tc>
        <w:tc>
          <w:tcPr>
            <w:tcW w:w="1701" w:type="dxa"/>
            <w:vMerge/>
          </w:tcPr>
          <w:p w:rsidR="00810D96" w:rsidRDefault="00810D96">
            <w:pPr>
              <w:jc w:val="center"/>
              <w:rPr>
                <w:rFonts w:ascii="Arial Narrow" w:eastAsia="Arial Narrow" w:hAnsi="Arial Narrow" w:cs="Arial Narrow"/>
              </w:rPr>
            </w:pPr>
          </w:p>
        </w:tc>
        <w:tc>
          <w:tcPr>
            <w:tcW w:w="5664" w:type="dxa"/>
            <w:vMerge/>
          </w:tcPr>
          <w:p w:rsidR="00810D96" w:rsidRDefault="00810D96">
            <w:pPr>
              <w:jc w:val="both"/>
              <w:rPr>
                <w:rFonts w:ascii="Arial Narrow" w:eastAsia="Arial Narrow" w:hAnsi="Arial Narrow" w:cs="Arial Narrow"/>
              </w:rPr>
            </w:pPr>
          </w:p>
        </w:tc>
      </w:tr>
      <w:tr w:rsid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7</w:t>
            </w:r>
          </w:p>
        </w:tc>
        <w:tc>
          <w:tcPr>
            <w:tcW w:w="1701" w:type="dxa"/>
            <w:vMerge/>
          </w:tcPr>
          <w:p w:rsidR="00810D96" w:rsidRDefault="00810D96">
            <w:pPr>
              <w:jc w:val="center"/>
              <w:rPr>
                <w:rFonts w:ascii="Arial Narrow" w:eastAsia="Arial Narrow" w:hAnsi="Arial Narrow" w:cs="Arial Narrow"/>
              </w:rPr>
            </w:pPr>
          </w:p>
        </w:tc>
        <w:tc>
          <w:tcPr>
            <w:tcW w:w="5664" w:type="dxa"/>
            <w:vMerge/>
          </w:tcPr>
          <w:p w:rsidR="00810D96" w:rsidRDefault="00810D96">
            <w:pPr>
              <w:jc w:val="both"/>
              <w:rPr>
                <w:rFonts w:ascii="Arial Narrow" w:eastAsia="Arial Narrow" w:hAnsi="Arial Narrow" w:cs="Arial Narrow"/>
              </w:rPr>
            </w:pPr>
          </w:p>
        </w:tc>
      </w:tr>
      <w:tr w:rsidR="00810D96" w:rsidTr="00810D96">
        <w:trPr>
          <w:trHeight w:val="260"/>
        </w:trPr>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8</w:t>
            </w:r>
          </w:p>
        </w:tc>
        <w:tc>
          <w:tcPr>
            <w:tcW w:w="1701" w:type="dxa"/>
            <w:vMerge w:val="restart"/>
            <w:vAlign w:val="center"/>
          </w:tcPr>
          <w:p w:rsidR="00810D96" w:rsidRDefault="00D94EA1" w:rsidP="00810D96">
            <w:pPr>
              <w:jc w:val="center"/>
              <w:rPr>
                <w:rFonts w:ascii="Arial Narrow" w:eastAsia="Arial Narrow" w:hAnsi="Arial Narrow" w:cs="Arial Narrow"/>
              </w:rPr>
            </w:pPr>
            <w:r>
              <w:rPr>
                <w:rFonts w:ascii="Arial Narrow" w:eastAsia="Arial Narrow" w:hAnsi="Arial Narrow" w:cs="Arial Narrow"/>
              </w:rPr>
              <w:t xml:space="preserve">18 de mayo al </w:t>
            </w:r>
            <w:r w:rsidR="00FC731C">
              <w:rPr>
                <w:rFonts w:ascii="Arial Narrow" w:eastAsia="Arial Narrow" w:hAnsi="Arial Narrow" w:cs="Arial Narrow"/>
              </w:rPr>
              <w:t>18 de junio</w:t>
            </w:r>
          </w:p>
        </w:tc>
        <w:tc>
          <w:tcPr>
            <w:tcW w:w="5664" w:type="dxa"/>
            <w:vMerge w:val="restart"/>
            <w:vAlign w:val="center"/>
          </w:tcPr>
          <w:p w:rsidR="00810D96" w:rsidRDefault="00810D96" w:rsidP="00810D96">
            <w:pPr>
              <w:rPr>
                <w:rFonts w:ascii="Arial Narrow" w:eastAsia="Arial Narrow" w:hAnsi="Arial Narrow" w:cs="Arial Narrow"/>
                <w:lang w:val="es-CL"/>
              </w:rPr>
            </w:pPr>
            <w:r w:rsidRPr="00810D96">
              <w:rPr>
                <w:rFonts w:ascii="Arial Narrow" w:eastAsia="Arial Narrow" w:hAnsi="Arial Narrow" w:cs="Arial Narrow"/>
                <w:lang w:val="es-CL"/>
              </w:rPr>
              <w:t>D</w:t>
            </w:r>
            <w:r w:rsidR="00D94EA1">
              <w:rPr>
                <w:rFonts w:ascii="Arial Narrow" w:eastAsia="Arial Narrow" w:hAnsi="Arial Narrow" w:cs="Arial Narrow"/>
                <w:lang w:val="es-CL"/>
              </w:rPr>
              <w:t xml:space="preserve">esarrollo de </w:t>
            </w:r>
            <w:r w:rsidR="00155E12">
              <w:rPr>
                <w:rFonts w:ascii="Arial Narrow" w:eastAsia="Arial Narrow" w:hAnsi="Arial Narrow" w:cs="Arial Narrow"/>
                <w:lang w:val="es-CL"/>
              </w:rPr>
              <w:t>proyecto de arquitectura</w:t>
            </w:r>
          </w:p>
          <w:p w:rsidR="00D94EA1" w:rsidRPr="00810D96" w:rsidRDefault="00D94EA1" w:rsidP="00810D96">
            <w:pPr>
              <w:rPr>
                <w:rFonts w:ascii="Arial Narrow" w:eastAsia="Arial Narrow" w:hAnsi="Arial Narrow" w:cs="Arial Narrow"/>
                <w:lang w:val="es-CL"/>
              </w:rPr>
            </w:pPr>
            <w:r>
              <w:rPr>
                <w:rFonts w:ascii="Arial Narrow" w:eastAsia="Arial Narrow" w:hAnsi="Arial Narrow" w:cs="Arial Narrow"/>
                <w:lang w:val="es-CL"/>
              </w:rPr>
              <w:t>Presentación a la comunidad y equipo municipal</w:t>
            </w:r>
          </w:p>
        </w:tc>
      </w:tr>
      <w:tr w:rsid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9</w:t>
            </w:r>
          </w:p>
        </w:tc>
        <w:tc>
          <w:tcPr>
            <w:tcW w:w="1701" w:type="dxa"/>
            <w:vMerge/>
          </w:tcPr>
          <w:p w:rsidR="00810D96" w:rsidRDefault="00810D96">
            <w:pPr>
              <w:jc w:val="center"/>
              <w:rPr>
                <w:rFonts w:ascii="Arial Narrow" w:eastAsia="Arial Narrow" w:hAnsi="Arial Narrow" w:cs="Arial Narrow"/>
              </w:rPr>
            </w:pPr>
          </w:p>
        </w:tc>
        <w:tc>
          <w:tcPr>
            <w:tcW w:w="5664" w:type="dxa"/>
            <w:vMerge/>
          </w:tcPr>
          <w:p w:rsidR="00810D96" w:rsidRDefault="00810D96">
            <w:pPr>
              <w:jc w:val="both"/>
              <w:rPr>
                <w:rFonts w:ascii="Arial Narrow" w:eastAsia="Arial Narrow" w:hAnsi="Arial Narrow" w:cs="Arial Narrow"/>
              </w:rPr>
            </w:pPr>
          </w:p>
        </w:tc>
      </w:tr>
      <w:tr w:rsid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10</w:t>
            </w:r>
          </w:p>
        </w:tc>
        <w:tc>
          <w:tcPr>
            <w:tcW w:w="1701" w:type="dxa"/>
            <w:vMerge/>
          </w:tcPr>
          <w:p w:rsidR="00810D96" w:rsidRDefault="00810D96">
            <w:pPr>
              <w:jc w:val="center"/>
              <w:rPr>
                <w:rFonts w:ascii="Arial Narrow" w:eastAsia="Arial Narrow" w:hAnsi="Arial Narrow" w:cs="Arial Narrow"/>
              </w:rPr>
            </w:pPr>
          </w:p>
        </w:tc>
        <w:tc>
          <w:tcPr>
            <w:tcW w:w="5664" w:type="dxa"/>
            <w:vMerge/>
          </w:tcPr>
          <w:p w:rsidR="00810D96" w:rsidRDefault="00810D96">
            <w:pPr>
              <w:jc w:val="both"/>
              <w:rPr>
                <w:rFonts w:ascii="Arial Narrow" w:eastAsia="Arial Narrow" w:hAnsi="Arial Narrow" w:cs="Arial Narrow"/>
              </w:rPr>
            </w:pPr>
          </w:p>
        </w:tc>
      </w:tr>
      <w:tr w:rsid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11</w:t>
            </w:r>
          </w:p>
        </w:tc>
        <w:tc>
          <w:tcPr>
            <w:tcW w:w="1701" w:type="dxa"/>
            <w:vMerge/>
          </w:tcPr>
          <w:p w:rsidR="00810D96" w:rsidRDefault="00810D96">
            <w:pPr>
              <w:jc w:val="center"/>
              <w:rPr>
                <w:rFonts w:ascii="Arial Narrow" w:eastAsia="Arial Narrow" w:hAnsi="Arial Narrow" w:cs="Arial Narrow"/>
              </w:rPr>
            </w:pPr>
          </w:p>
        </w:tc>
        <w:tc>
          <w:tcPr>
            <w:tcW w:w="5664" w:type="dxa"/>
            <w:vMerge/>
          </w:tcPr>
          <w:p w:rsidR="00810D96" w:rsidRDefault="00810D96">
            <w:pPr>
              <w:jc w:val="both"/>
              <w:rPr>
                <w:rFonts w:ascii="Arial Narrow" w:eastAsia="Arial Narrow" w:hAnsi="Arial Narrow" w:cs="Arial Narrow"/>
              </w:rPr>
            </w:pPr>
          </w:p>
        </w:tc>
      </w:tr>
      <w:tr w:rsid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12</w:t>
            </w:r>
          </w:p>
        </w:tc>
        <w:tc>
          <w:tcPr>
            <w:tcW w:w="1701" w:type="dxa"/>
            <w:vMerge/>
          </w:tcPr>
          <w:p w:rsidR="00810D96" w:rsidRDefault="00810D96">
            <w:pPr>
              <w:jc w:val="center"/>
              <w:rPr>
                <w:rFonts w:ascii="Arial Narrow" w:eastAsia="Arial Narrow" w:hAnsi="Arial Narrow" w:cs="Arial Narrow"/>
              </w:rPr>
            </w:pPr>
          </w:p>
        </w:tc>
        <w:tc>
          <w:tcPr>
            <w:tcW w:w="5664" w:type="dxa"/>
            <w:vMerge/>
          </w:tcPr>
          <w:p w:rsidR="00810D96" w:rsidRDefault="00810D96">
            <w:pPr>
              <w:jc w:val="both"/>
              <w:rPr>
                <w:rFonts w:ascii="Arial Narrow" w:eastAsia="Arial Narrow" w:hAnsi="Arial Narrow" w:cs="Arial Narrow"/>
              </w:rPr>
            </w:pPr>
          </w:p>
        </w:tc>
      </w:tr>
      <w:tr w:rsidR="00810D96" w:rsidT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13</w:t>
            </w:r>
          </w:p>
        </w:tc>
        <w:tc>
          <w:tcPr>
            <w:tcW w:w="1701" w:type="dxa"/>
            <w:vMerge w:val="restart"/>
            <w:vAlign w:val="center"/>
          </w:tcPr>
          <w:p w:rsidR="00810D96" w:rsidRDefault="00FC731C" w:rsidP="00810D96">
            <w:pPr>
              <w:jc w:val="center"/>
              <w:rPr>
                <w:rFonts w:ascii="Arial Narrow" w:eastAsia="Arial Narrow" w:hAnsi="Arial Narrow" w:cs="Arial Narrow"/>
              </w:rPr>
            </w:pPr>
            <w:r>
              <w:rPr>
                <w:rFonts w:ascii="Arial Narrow" w:eastAsia="Arial Narrow" w:hAnsi="Arial Narrow" w:cs="Arial Narrow"/>
              </w:rPr>
              <w:t>22 de junio al 30 de julio</w:t>
            </w:r>
          </w:p>
        </w:tc>
        <w:tc>
          <w:tcPr>
            <w:tcW w:w="5664" w:type="dxa"/>
            <w:vMerge w:val="restart"/>
            <w:vAlign w:val="center"/>
          </w:tcPr>
          <w:p w:rsidR="00810D96" w:rsidRDefault="00D94EA1" w:rsidP="00810D96">
            <w:pPr>
              <w:rPr>
                <w:rFonts w:ascii="Arial Narrow" w:eastAsia="Arial Narrow" w:hAnsi="Arial Narrow" w:cs="Arial Narrow"/>
                <w:lang w:val="es-CL"/>
              </w:rPr>
            </w:pPr>
            <w:r>
              <w:rPr>
                <w:rFonts w:ascii="Arial Narrow" w:eastAsia="Arial Narrow" w:hAnsi="Arial Narrow" w:cs="Arial Narrow"/>
                <w:lang w:val="es-CL"/>
              </w:rPr>
              <w:t>Desarrollo de propuesta final, incorporando observaciones de la etapa anterior</w:t>
            </w:r>
          </w:p>
          <w:p w:rsidR="00D94EA1" w:rsidRDefault="00D94EA1" w:rsidP="00810D96">
            <w:pPr>
              <w:rPr>
                <w:rFonts w:ascii="Arial Narrow" w:eastAsia="Arial Narrow" w:hAnsi="Arial Narrow" w:cs="Arial Narrow"/>
              </w:rPr>
            </w:pPr>
            <w:r>
              <w:rPr>
                <w:rFonts w:ascii="Arial Narrow" w:eastAsia="Arial Narrow" w:hAnsi="Arial Narrow" w:cs="Arial Narrow"/>
                <w:lang w:val="es-CL"/>
              </w:rPr>
              <w:t>Entrega de proyectos en formato exposición y expediente</w:t>
            </w:r>
          </w:p>
        </w:tc>
      </w:tr>
      <w:tr w:rsid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14</w:t>
            </w:r>
          </w:p>
        </w:tc>
        <w:tc>
          <w:tcPr>
            <w:tcW w:w="1701" w:type="dxa"/>
            <w:vMerge/>
          </w:tcPr>
          <w:p w:rsidR="00810D96" w:rsidRDefault="00810D96">
            <w:pPr>
              <w:jc w:val="center"/>
              <w:rPr>
                <w:rFonts w:ascii="Arial Narrow" w:eastAsia="Arial Narrow" w:hAnsi="Arial Narrow" w:cs="Arial Narrow"/>
              </w:rPr>
            </w:pPr>
          </w:p>
        </w:tc>
        <w:tc>
          <w:tcPr>
            <w:tcW w:w="5664" w:type="dxa"/>
            <w:vMerge/>
          </w:tcPr>
          <w:p w:rsidR="00810D96" w:rsidRDefault="00810D96">
            <w:pPr>
              <w:jc w:val="both"/>
              <w:rPr>
                <w:rFonts w:ascii="Arial Narrow" w:eastAsia="Arial Narrow" w:hAnsi="Arial Narrow" w:cs="Arial Narrow"/>
              </w:rPr>
            </w:pPr>
          </w:p>
        </w:tc>
      </w:tr>
      <w:tr w:rsid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15</w:t>
            </w:r>
          </w:p>
        </w:tc>
        <w:tc>
          <w:tcPr>
            <w:tcW w:w="1701" w:type="dxa"/>
            <w:vMerge/>
          </w:tcPr>
          <w:p w:rsidR="00810D96" w:rsidRDefault="00810D96">
            <w:pPr>
              <w:jc w:val="center"/>
              <w:rPr>
                <w:rFonts w:ascii="Arial Narrow" w:eastAsia="Arial Narrow" w:hAnsi="Arial Narrow" w:cs="Arial Narrow"/>
              </w:rPr>
            </w:pPr>
          </w:p>
        </w:tc>
        <w:tc>
          <w:tcPr>
            <w:tcW w:w="5664" w:type="dxa"/>
            <w:vMerge/>
          </w:tcPr>
          <w:p w:rsidR="00810D96" w:rsidRDefault="00810D96">
            <w:pPr>
              <w:jc w:val="both"/>
              <w:rPr>
                <w:rFonts w:ascii="Arial Narrow" w:eastAsia="Arial Narrow" w:hAnsi="Arial Narrow" w:cs="Arial Narrow"/>
              </w:rPr>
            </w:pPr>
          </w:p>
        </w:tc>
      </w:tr>
      <w:tr w:rsidR="00810D96">
        <w:trPr>
          <w:trHeight w:val="260"/>
        </w:trPr>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16</w:t>
            </w:r>
          </w:p>
        </w:tc>
        <w:tc>
          <w:tcPr>
            <w:tcW w:w="1701" w:type="dxa"/>
            <w:vMerge/>
          </w:tcPr>
          <w:p w:rsidR="00810D96" w:rsidRDefault="00810D96">
            <w:pPr>
              <w:jc w:val="center"/>
              <w:rPr>
                <w:rFonts w:ascii="Arial Narrow" w:eastAsia="Arial Narrow" w:hAnsi="Arial Narrow" w:cs="Arial Narrow"/>
              </w:rPr>
            </w:pPr>
          </w:p>
        </w:tc>
        <w:tc>
          <w:tcPr>
            <w:tcW w:w="5664" w:type="dxa"/>
            <w:vMerge/>
          </w:tcPr>
          <w:p w:rsidR="00810D96" w:rsidRDefault="00810D96">
            <w:pPr>
              <w:jc w:val="both"/>
              <w:rPr>
                <w:rFonts w:ascii="Arial Narrow" w:eastAsia="Arial Narrow" w:hAnsi="Arial Narrow" w:cs="Arial Narrow"/>
              </w:rPr>
            </w:pPr>
          </w:p>
        </w:tc>
      </w:tr>
      <w:tr w:rsid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17</w:t>
            </w:r>
          </w:p>
        </w:tc>
        <w:tc>
          <w:tcPr>
            <w:tcW w:w="1701" w:type="dxa"/>
            <w:vMerge/>
          </w:tcPr>
          <w:p w:rsidR="00810D96" w:rsidRDefault="00810D96">
            <w:pPr>
              <w:jc w:val="center"/>
              <w:rPr>
                <w:rFonts w:ascii="Arial Narrow" w:eastAsia="Arial Narrow" w:hAnsi="Arial Narrow" w:cs="Arial Narrow"/>
              </w:rPr>
            </w:pPr>
          </w:p>
        </w:tc>
        <w:tc>
          <w:tcPr>
            <w:tcW w:w="5664" w:type="dxa"/>
            <w:vMerge/>
          </w:tcPr>
          <w:p w:rsidR="00810D96" w:rsidRDefault="00810D96">
            <w:pPr>
              <w:jc w:val="both"/>
              <w:rPr>
                <w:rFonts w:ascii="Arial Narrow" w:eastAsia="Arial Narrow" w:hAnsi="Arial Narrow" w:cs="Arial Narrow"/>
              </w:rPr>
            </w:pPr>
          </w:p>
        </w:tc>
      </w:tr>
      <w:tr w:rsidR="00810D96">
        <w:tc>
          <w:tcPr>
            <w:tcW w:w="1129" w:type="dxa"/>
          </w:tcPr>
          <w:p w:rsidR="00810D96" w:rsidRDefault="00810D96">
            <w:pPr>
              <w:jc w:val="center"/>
              <w:rPr>
                <w:rFonts w:ascii="Arial Narrow" w:eastAsia="Arial Narrow" w:hAnsi="Arial Narrow" w:cs="Arial Narrow"/>
              </w:rPr>
            </w:pPr>
            <w:r>
              <w:rPr>
                <w:rFonts w:ascii="Arial Narrow" w:eastAsia="Arial Narrow" w:hAnsi="Arial Narrow" w:cs="Arial Narrow"/>
              </w:rPr>
              <w:t>18</w:t>
            </w:r>
          </w:p>
        </w:tc>
        <w:tc>
          <w:tcPr>
            <w:tcW w:w="1701" w:type="dxa"/>
            <w:vMerge/>
          </w:tcPr>
          <w:p w:rsidR="00810D96" w:rsidRDefault="00810D96">
            <w:pPr>
              <w:jc w:val="center"/>
              <w:rPr>
                <w:rFonts w:ascii="Arial Narrow" w:eastAsia="Arial Narrow" w:hAnsi="Arial Narrow" w:cs="Arial Narrow"/>
              </w:rPr>
            </w:pPr>
          </w:p>
        </w:tc>
        <w:tc>
          <w:tcPr>
            <w:tcW w:w="5664" w:type="dxa"/>
            <w:vMerge/>
          </w:tcPr>
          <w:p w:rsidR="00810D96" w:rsidRDefault="00810D96">
            <w:pPr>
              <w:jc w:val="both"/>
              <w:rPr>
                <w:rFonts w:ascii="Arial Narrow" w:eastAsia="Arial Narrow" w:hAnsi="Arial Narrow" w:cs="Arial Narrow"/>
              </w:rPr>
            </w:pPr>
          </w:p>
        </w:tc>
      </w:tr>
    </w:tbl>
    <w:p w:rsidR="00B46287" w:rsidRDefault="00B46287">
      <w:pPr>
        <w:rPr>
          <w:rFonts w:ascii="Arial Narrow" w:eastAsia="Arial Narrow" w:hAnsi="Arial Narrow" w:cs="Arial Narrow"/>
        </w:rPr>
      </w:pPr>
    </w:p>
    <w:tbl>
      <w:tblPr>
        <w:tblStyle w:val="a3"/>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lastRenderedPageBreak/>
              <w:t>Metodología:</w:t>
            </w:r>
          </w:p>
        </w:tc>
      </w:tr>
      <w:tr w:rsidR="00B46287">
        <w:tc>
          <w:tcPr>
            <w:tcW w:w="8494" w:type="dxa"/>
          </w:tcPr>
          <w:p w:rsidR="00F81C8C" w:rsidRDefault="00F81C8C" w:rsidP="00810D96">
            <w:pPr>
              <w:spacing w:line="276" w:lineRule="auto"/>
              <w:jc w:val="both"/>
              <w:rPr>
                <w:rFonts w:ascii="Arial Narrow" w:eastAsia="Arial Narrow" w:hAnsi="Arial Narrow" w:cs="Arial Narrow"/>
              </w:rPr>
            </w:pPr>
            <w:r>
              <w:rPr>
                <w:rFonts w:ascii="Arial Narrow" w:eastAsia="Arial Narrow" w:hAnsi="Arial Narrow" w:cs="Arial Narrow"/>
              </w:rPr>
              <w:t xml:space="preserve">El taller reunirá a estudiantes de tercer semestre de la FAU con estudiantes de cuarto semestre de la UTEM </w:t>
            </w:r>
            <w:r w:rsidR="006B751A">
              <w:rPr>
                <w:rFonts w:ascii="Arial Narrow" w:eastAsia="Arial Narrow" w:hAnsi="Arial Narrow" w:cs="Arial Narrow"/>
              </w:rPr>
              <w:t xml:space="preserve">(profesores Pedro Bustos y Óscar Aceves) </w:t>
            </w:r>
            <w:r>
              <w:rPr>
                <w:rFonts w:ascii="Arial Narrow" w:eastAsia="Arial Narrow" w:hAnsi="Arial Narrow" w:cs="Arial Narrow"/>
              </w:rPr>
              <w:t>y de quinto semestre de la USACH</w:t>
            </w:r>
            <w:r w:rsidR="006B751A">
              <w:rPr>
                <w:rFonts w:ascii="Arial Narrow" w:eastAsia="Arial Narrow" w:hAnsi="Arial Narrow" w:cs="Arial Narrow"/>
              </w:rPr>
              <w:t xml:space="preserve"> (profesor Pablo </w:t>
            </w:r>
            <w:proofErr w:type="spellStart"/>
            <w:r w:rsidR="006B751A">
              <w:rPr>
                <w:rFonts w:ascii="Arial Narrow" w:eastAsia="Arial Narrow" w:hAnsi="Arial Narrow" w:cs="Arial Narrow"/>
              </w:rPr>
              <w:t>Montecinos</w:t>
            </w:r>
            <w:proofErr w:type="spellEnd"/>
            <w:r w:rsidR="006B751A">
              <w:rPr>
                <w:rFonts w:ascii="Arial Narrow" w:eastAsia="Arial Narrow" w:hAnsi="Arial Narrow" w:cs="Arial Narrow"/>
              </w:rPr>
              <w:t>)</w:t>
            </w:r>
            <w:r>
              <w:rPr>
                <w:rFonts w:ascii="Arial Narrow" w:eastAsia="Arial Narrow" w:hAnsi="Arial Narrow" w:cs="Arial Narrow"/>
              </w:rPr>
              <w:t>. Se trabajará en equipos de tres integrantes, uno/a por universidad.</w:t>
            </w:r>
            <w:r w:rsidR="00FC731C">
              <w:rPr>
                <w:rFonts w:ascii="Arial Narrow" w:eastAsia="Arial Narrow" w:hAnsi="Arial Narrow" w:cs="Arial Narrow"/>
              </w:rPr>
              <w:t xml:space="preserve"> Las sesiones se realizarán alternadamente en las tres facultades participantes.</w:t>
            </w:r>
          </w:p>
          <w:p w:rsidR="00FC731C" w:rsidRDefault="00FC731C" w:rsidP="00810D96">
            <w:pPr>
              <w:spacing w:line="276" w:lineRule="auto"/>
              <w:jc w:val="both"/>
              <w:rPr>
                <w:rFonts w:ascii="Arial Narrow" w:eastAsia="Arial Narrow" w:hAnsi="Arial Narrow" w:cs="Arial Narrow"/>
              </w:rPr>
            </w:pPr>
          </w:p>
          <w:p w:rsidR="00FC731C" w:rsidRDefault="00FC731C" w:rsidP="00810D96">
            <w:pPr>
              <w:spacing w:line="276" w:lineRule="auto"/>
              <w:jc w:val="both"/>
              <w:rPr>
                <w:rFonts w:ascii="Arial Narrow" w:eastAsia="Arial Narrow" w:hAnsi="Arial Narrow" w:cs="Arial Narrow"/>
              </w:rPr>
            </w:pPr>
            <w:r>
              <w:rPr>
                <w:rFonts w:ascii="Arial Narrow" w:eastAsia="Arial Narrow" w:hAnsi="Arial Narrow" w:cs="Arial Narrow"/>
              </w:rPr>
              <w:t>La primera etapa del taller supone visitas a terreno y reuniones con las comunidades de los barrios que hayan sido sugeridos por el municipio como interlocutores del proceso de proyecto. Estas reuniones tendrán un soporte de visualización de información para poder construir una síntesis que informe el programa de arquitectura.</w:t>
            </w:r>
          </w:p>
          <w:p w:rsidR="00E27B76" w:rsidRDefault="00E27B76" w:rsidP="00810D96">
            <w:pPr>
              <w:spacing w:line="276" w:lineRule="auto"/>
              <w:jc w:val="both"/>
              <w:rPr>
                <w:rFonts w:ascii="Arial Narrow" w:eastAsia="Arial Narrow" w:hAnsi="Arial Narrow" w:cs="Arial Narrow"/>
              </w:rPr>
            </w:pPr>
          </w:p>
          <w:p w:rsidR="00E27B76" w:rsidRDefault="00E27B76" w:rsidP="00810D96">
            <w:pPr>
              <w:spacing w:line="276" w:lineRule="auto"/>
              <w:jc w:val="both"/>
              <w:rPr>
                <w:rFonts w:ascii="Arial Narrow" w:eastAsia="Arial Narrow" w:hAnsi="Arial Narrow" w:cs="Arial Narrow"/>
              </w:rPr>
            </w:pPr>
            <w:r>
              <w:rPr>
                <w:rFonts w:ascii="Arial Narrow" w:eastAsia="Arial Narrow" w:hAnsi="Arial Narrow" w:cs="Arial Narrow"/>
              </w:rPr>
              <w:t>Las etapas de anteproyecto y proyecto tendrán un sistema de trabajo en base a la revisión de avances parciales, que combine correcciones grupales (método convencional de revisión de cada proyecto) y correcciones ejemplares (selección de un proyecto para revisión en profundidad, cuyas conclusiones puedan servir a todas y todos los estudiantes para el desarrollo de sus propuestas).</w:t>
            </w:r>
          </w:p>
          <w:p w:rsidR="00603A94" w:rsidRDefault="00603A94" w:rsidP="00810D96">
            <w:pPr>
              <w:spacing w:line="276" w:lineRule="auto"/>
              <w:jc w:val="both"/>
              <w:rPr>
                <w:rFonts w:ascii="Arial Narrow" w:eastAsia="Arial Narrow" w:hAnsi="Arial Narrow" w:cs="Arial Narrow"/>
              </w:rPr>
            </w:pPr>
          </w:p>
          <w:p w:rsidR="00603A94" w:rsidRDefault="006B751A" w:rsidP="00810D96">
            <w:pPr>
              <w:spacing w:line="276" w:lineRule="auto"/>
              <w:jc w:val="both"/>
              <w:rPr>
                <w:rFonts w:ascii="Arial Narrow" w:eastAsia="Arial Narrow" w:hAnsi="Arial Narrow" w:cs="Arial Narrow"/>
              </w:rPr>
            </w:pPr>
            <w:r>
              <w:rPr>
                <w:rFonts w:ascii="Arial Narrow" w:eastAsia="Arial Narrow" w:hAnsi="Arial Narrow" w:cs="Arial Narrow"/>
              </w:rPr>
              <w:t>Habrá una segunda instancia de presentación preliminar de proyectos a la comunidad y el equipo municipal, donde se recogerán observaciones que deberán informar los proyectos finales.</w:t>
            </w:r>
          </w:p>
          <w:p w:rsidR="00FC731C" w:rsidRDefault="00FC731C" w:rsidP="00810D96">
            <w:pPr>
              <w:spacing w:line="276" w:lineRule="auto"/>
              <w:jc w:val="both"/>
              <w:rPr>
                <w:rFonts w:ascii="Arial Narrow" w:eastAsia="Arial Narrow" w:hAnsi="Arial Narrow" w:cs="Arial Narrow"/>
              </w:rPr>
            </w:pPr>
          </w:p>
          <w:p w:rsidR="00B46287" w:rsidRDefault="006B751A" w:rsidP="00180896">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Se trabajará en conjunto con los profesionales del municipio para que los estudiantes puedan elaborar simultáneamente una entrega de proyectos en formato exposición y en formato expediente.</w:t>
            </w:r>
          </w:p>
        </w:tc>
      </w:tr>
    </w:tbl>
    <w:p w:rsidR="00B46287" w:rsidRDefault="00B46287">
      <w:pPr>
        <w:rPr>
          <w:rFonts w:ascii="Arial Narrow" w:eastAsia="Arial Narrow" w:hAnsi="Arial Narrow" w:cs="Arial Narrow"/>
        </w:rPr>
      </w:pPr>
    </w:p>
    <w:tbl>
      <w:tblPr>
        <w:tblStyle w:val="a4"/>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t>Recursos:</w:t>
            </w:r>
          </w:p>
        </w:tc>
      </w:tr>
      <w:tr w:rsidR="00B46287">
        <w:tc>
          <w:tcPr>
            <w:tcW w:w="8494" w:type="dxa"/>
          </w:tcPr>
          <w:p w:rsidR="00B46287" w:rsidRDefault="00B46287">
            <w:pPr>
              <w:pBdr>
                <w:top w:val="nil"/>
                <w:left w:val="nil"/>
                <w:bottom w:val="nil"/>
                <w:right w:val="nil"/>
                <w:between w:val="nil"/>
              </w:pBdr>
              <w:spacing w:after="200" w:line="276" w:lineRule="auto"/>
              <w:jc w:val="both"/>
              <w:rPr>
                <w:rFonts w:ascii="Arial Narrow" w:eastAsia="Arial Narrow" w:hAnsi="Arial Narrow" w:cs="Arial Narrow"/>
              </w:rPr>
            </w:pPr>
          </w:p>
        </w:tc>
      </w:tr>
    </w:tbl>
    <w:p w:rsidR="00B46287" w:rsidRDefault="00B46287">
      <w:pPr>
        <w:rPr>
          <w:rFonts w:ascii="Arial Narrow" w:eastAsia="Arial Narrow" w:hAnsi="Arial Narrow" w:cs="Arial Narrow"/>
        </w:rPr>
      </w:pPr>
    </w:p>
    <w:tbl>
      <w:tblPr>
        <w:tblStyle w:val="a5"/>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t>Gestión de materiales:</w:t>
            </w:r>
          </w:p>
          <w:p w:rsidR="00B46287" w:rsidRDefault="0084168E">
            <w:pPr>
              <w:pBdr>
                <w:top w:val="nil"/>
                <w:left w:val="nil"/>
                <w:bottom w:val="nil"/>
                <w:right w:val="nil"/>
                <w:between w:val="nil"/>
              </w:pBdr>
              <w:spacing w:line="276" w:lineRule="auto"/>
              <w:jc w:val="both"/>
              <w:rPr>
                <w:rFonts w:ascii="Arial Narrow" w:eastAsia="Arial Narrow" w:hAnsi="Arial Narrow" w:cs="Arial Narrow"/>
              </w:rPr>
            </w:pPr>
            <w:r>
              <w:rPr>
                <w:rFonts w:ascii="Arial Narrow" w:eastAsia="Arial Narrow" w:hAnsi="Arial Narrow" w:cs="Arial Narrow"/>
              </w:rPr>
              <w:t>(Indicar si se trabajará con algún material en particular y que eventualmente requiera ser acopiado y tratado o reciclado, de manera tal que se evite la presencia de basura y material en desuso en las salas)</w:t>
            </w:r>
          </w:p>
          <w:p w:rsidR="00B46287" w:rsidRDefault="00810D96">
            <w:pPr>
              <w:pBdr>
                <w:top w:val="nil"/>
                <w:left w:val="nil"/>
                <w:bottom w:val="nil"/>
                <w:right w:val="nil"/>
                <w:between w:val="nil"/>
              </w:pBdr>
              <w:spacing w:after="200" w:line="276" w:lineRule="auto"/>
              <w:jc w:val="both"/>
              <w:rPr>
                <w:rFonts w:ascii="Arial Narrow" w:eastAsia="Arial Narrow" w:hAnsi="Arial Narrow" w:cs="Arial Narrow"/>
              </w:rPr>
            </w:pPr>
            <w:r>
              <w:rPr>
                <w:rFonts w:ascii="Arial Narrow" w:eastAsia="Arial Narrow" w:hAnsi="Arial Narrow" w:cs="Arial Narrow"/>
              </w:rPr>
              <w:t>Solamente papeles</w:t>
            </w:r>
            <w:r w:rsidR="00E75102">
              <w:rPr>
                <w:rFonts w:ascii="Arial Narrow" w:eastAsia="Arial Narrow" w:hAnsi="Arial Narrow" w:cs="Arial Narrow"/>
              </w:rPr>
              <w:t>,</w:t>
            </w:r>
            <w:r>
              <w:rPr>
                <w:rFonts w:ascii="Arial Narrow" w:eastAsia="Arial Narrow" w:hAnsi="Arial Narrow" w:cs="Arial Narrow"/>
              </w:rPr>
              <w:t xml:space="preserve"> cartones</w:t>
            </w:r>
            <w:r w:rsidR="00E75102">
              <w:rPr>
                <w:rFonts w:ascii="Arial Narrow" w:eastAsia="Arial Narrow" w:hAnsi="Arial Narrow" w:cs="Arial Narrow"/>
              </w:rPr>
              <w:t xml:space="preserve"> y materiales normales para modelos</w:t>
            </w:r>
            <w:r>
              <w:rPr>
                <w:rFonts w:ascii="Arial Narrow" w:eastAsia="Arial Narrow" w:hAnsi="Arial Narrow" w:cs="Arial Narrow"/>
              </w:rPr>
              <w:t>, en ningún caso materiales de procesos húmedos como yeso u hormigón.</w:t>
            </w:r>
          </w:p>
        </w:tc>
      </w:tr>
    </w:tbl>
    <w:p w:rsidR="00B46287" w:rsidRDefault="00B46287">
      <w:pPr>
        <w:rPr>
          <w:rFonts w:ascii="Arial Narrow" w:eastAsia="Arial Narrow" w:hAnsi="Arial Narrow" w:cs="Arial Narrow"/>
        </w:rPr>
      </w:pPr>
    </w:p>
    <w:tbl>
      <w:tblPr>
        <w:tblStyle w:val="a6"/>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402"/>
        <w:gridCol w:w="3112"/>
      </w:tblGrid>
      <w:tr w:rsidR="00B46287">
        <w:tc>
          <w:tcPr>
            <w:tcW w:w="8494" w:type="dxa"/>
            <w:gridSpan w:val="3"/>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t>Requerimiento de otros espacios de la Facultad:</w:t>
            </w:r>
          </w:p>
          <w:p w:rsidR="00B46287" w:rsidRDefault="0084168E">
            <w:pPr>
              <w:pBdr>
                <w:top w:val="nil"/>
                <w:left w:val="nil"/>
                <w:bottom w:val="nil"/>
                <w:right w:val="nil"/>
                <w:between w:val="nil"/>
              </w:pBdr>
              <w:spacing w:after="200" w:line="276" w:lineRule="auto"/>
              <w:jc w:val="both"/>
              <w:rPr>
                <w:rFonts w:ascii="Arial Narrow" w:eastAsia="Arial Narrow" w:hAnsi="Arial Narrow" w:cs="Arial Narrow"/>
              </w:rPr>
            </w:pPr>
            <w:r>
              <w:rPr>
                <w:rFonts w:ascii="Arial Narrow" w:eastAsia="Arial Narrow" w:hAnsi="Arial Narrow" w:cs="Arial Narrow"/>
              </w:rPr>
              <w:t xml:space="preserve">Se </w:t>
            </w:r>
            <w:r w:rsidR="00810D96">
              <w:rPr>
                <w:rFonts w:ascii="Arial Narrow" w:eastAsia="Arial Narrow" w:hAnsi="Arial Narrow" w:cs="Arial Narrow"/>
              </w:rPr>
              <w:t>trabajará en función de adaptar el diseño de entrega del taller a los requerimientos de la escuela y del acuerdo entre talleres para el tema común.</w:t>
            </w:r>
          </w:p>
        </w:tc>
      </w:tr>
      <w:tr w:rsidR="00B46287" w:rsidTr="008E2DCD">
        <w:trPr>
          <w:trHeight w:val="240"/>
        </w:trPr>
        <w:tc>
          <w:tcPr>
            <w:tcW w:w="1980" w:type="dxa"/>
            <w:tcBorders>
              <w:bottom w:val="single" w:sz="4" w:space="0" w:color="auto"/>
            </w:tcBorders>
          </w:tcPr>
          <w:p w:rsidR="00B46287" w:rsidRDefault="0084168E">
            <w:pPr>
              <w:jc w:val="center"/>
              <w:rPr>
                <w:rFonts w:ascii="Arial Narrow" w:eastAsia="Arial Narrow" w:hAnsi="Arial Narrow" w:cs="Arial Narrow"/>
              </w:rPr>
            </w:pPr>
            <w:r>
              <w:rPr>
                <w:rFonts w:ascii="Arial Narrow" w:eastAsia="Arial Narrow" w:hAnsi="Arial Narrow" w:cs="Arial Narrow"/>
              </w:rPr>
              <w:t>Fecha</w:t>
            </w:r>
          </w:p>
        </w:tc>
        <w:tc>
          <w:tcPr>
            <w:tcW w:w="3402" w:type="dxa"/>
            <w:tcBorders>
              <w:bottom w:val="single" w:sz="4" w:space="0" w:color="auto"/>
            </w:tcBorders>
          </w:tcPr>
          <w:p w:rsidR="00B46287" w:rsidRDefault="0084168E">
            <w:pPr>
              <w:jc w:val="center"/>
              <w:rPr>
                <w:rFonts w:ascii="Arial Narrow" w:eastAsia="Arial Narrow" w:hAnsi="Arial Narrow" w:cs="Arial Narrow"/>
              </w:rPr>
            </w:pPr>
            <w:r>
              <w:rPr>
                <w:rFonts w:ascii="Arial Narrow" w:eastAsia="Arial Narrow" w:hAnsi="Arial Narrow" w:cs="Arial Narrow"/>
              </w:rPr>
              <w:t>Duración</w:t>
            </w:r>
          </w:p>
        </w:tc>
        <w:tc>
          <w:tcPr>
            <w:tcW w:w="3112" w:type="dxa"/>
            <w:tcBorders>
              <w:bottom w:val="single" w:sz="4" w:space="0" w:color="auto"/>
            </w:tcBorders>
          </w:tcPr>
          <w:p w:rsidR="00B46287" w:rsidRDefault="0084168E">
            <w:pPr>
              <w:jc w:val="center"/>
              <w:rPr>
                <w:rFonts w:ascii="Arial Narrow" w:eastAsia="Arial Narrow" w:hAnsi="Arial Narrow" w:cs="Arial Narrow"/>
              </w:rPr>
            </w:pPr>
            <w:r>
              <w:rPr>
                <w:rFonts w:ascii="Arial Narrow" w:eastAsia="Arial Narrow" w:hAnsi="Arial Narrow" w:cs="Arial Narrow"/>
              </w:rPr>
              <w:t>Lugar</w:t>
            </w:r>
          </w:p>
        </w:tc>
      </w:tr>
      <w:tr w:rsidR="00B46287" w:rsidTr="008E2DCD">
        <w:trPr>
          <w:trHeight w:val="240"/>
        </w:trPr>
        <w:tc>
          <w:tcPr>
            <w:tcW w:w="1980" w:type="dxa"/>
            <w:tcBorders>
              <w:top w:val="single" w:sz="4" w:space="0" w:color="auto"/>
              <w:left w:val="single" w:sz="4" w:space="0" w:color="auto"/>
              <w:bottom w:val="single" w:sz="4" w:space="0" w:color="auto"/>
              <w:right w:val="single" w:sz="4" w:space="0" w:color="auto"/>
            </w:tcBorders>
          </w:tcPr>
          <w:p w:rsidR="00B46287" w:rsidRDefault="00A76E1F">
            <w:pPr>
              <w:rPr>
                <w:rFonts w:ascii="Arial Narrow" w:eastAsia="Arial Narrow" w:hAnsi="Arial Narrow" w:cs="Arial Narrow"/>
              </w:rPr>
            </w:pPr>
            <w:r>
              <w:rPr>
                <w:rFonts w:ascii="Arial Narrow" w:eastAsia="Arial Narrow" w:hAnsi="Arial Narrow" w:cs="Arial Narrow"/>
              </w:rPr>
              <w:t>Por confirmar; una vez cada tres sesiones</w:t>
            </w:r>
          </w:p>
        </w:tc>
        <w:tc>
          <w:tcPr>
            <w:tcW w:w="3402" w:type="dxa"/>
            <w:tcBorders>
              <w:top w:val="single" w:sz="4" w:space="0" w:color="auto"/>
              <w:left w:val="single" w:sz="4" w:space="0" w:color="auto"/>
              <w:bottom w:val="single" w:sz="4" w:space="0" w:color="auto"/>
              <w:right w:val="single" w:sz="4" w:space="0" w:color="auto"/>
            </w:tcBorders>
          </w:tcPr>
          <w:p w:rsidR="00B46287" w:rsidRDefault="00A76E1F">
            <w:pPr>
              <w:rPr>
                <w:rFonts w:ascii="Arial Narrow" w:eastAsia="Arial Narrow" w:hAnsi="Arial Narrow" w:cs="Arial Narrow"/>
              </w:rPr>
            </w:pPr>
            <w:r>
              <w:rPr>
                <w:rFonts w:ascii="Arial Narrow" w:eastAsia="Arial Narrow" w:hAnsi="Arial Narrow" w:cs="Arial Narrow"/>
              </w:rPr>
              <w:t>Tarde completa</w:t>
            </w:r>
          </w:p>
        </w:tc>
        <w:tc>
          <w:tcPr>
            <w:tcW w:w="3112" w:type="dxa"/>
            <w:tcBorders>
              <w:top w:val="single" w:sz="4" w:space="0" w:color="auto"/>
              <w:left w:val="single" w:sz="4" w:space="0" w:color="auto"/>
              <w:bottom w:val="single" w:sz="4" w:space="0" w:color="auto"/>
              <w:right w:val="single" w:sz="4" w:space="0" w:color="auto"/>
            </w:tcBorders>
          </w:tcPr>
          <w:p w:rsidR="00B46287" w:rsidRDefault="00A76E1F">
            <w:pPr>
              <w:rPr>
                <w:rFonts w:ascii="Arial Narrow" w:eastAsia="Arial Narrow" w:hAnsi="Arial Narrow" w:cs="Arial Narrow"/>
              </w:rPr>
            </w:pPr>
            <w:r>
              <w:rPr>
                <w:rFonts w:ascii="Arial Narrow" w:eastAsia="Arial Narrow" w:hAnsi="Arial Narrow" w:cs="Arial Narrow"/>
              </w:rPr>
              <w:t>Hall central o sala grande (tamaño estimado de la sección: 70-80 personas)</w:t>
            </w:r>
          </w:p>
        </w:tc>
      </w:tr>
      <w:tr w:rsidR="008E2DCD" w:rsidTr="008E2DCD">
        <w:trPr>
          <w:trHeight w:val="240"/>
        </w:trPr>
        <w:tc>
          <w:tcPr>
            <w:tcW w:w="1980" w:type="dxa"/>
            <w:tcBorders>
              <w:top w:val="single" w:sz="4" w:space="0" w:color="auto"/>
              <w:left w:val="nil"/>
              <w:bottom w:val="single" w:sz="4" w:space="0" w:color="auto"/>
              <w:right w:val="nil"/>
            </w:tcBorders>
          </w:tcPr>
          <w:p w:rsidR="008E2DCD" w:rsidRDefault="008E2DCD">
            <w:pPr>
              <w:rPr>
                <w:rFonts w:ascii="Arial Narrow" w:eastAsia="Arial Narrow" w:hAnsi="Arial Narrow" w:cs="Arial Narrow"/>
              </w:rPr>
            </w:pPr>
          </w:p>
          <w:p w:rsidR="00DD6880" w:rsidRDefault="00DD6880">
            <w:pPr>
              <w:rPr>
                <w:rFonts w:ascii="Arial Narrow" w:eastAsia="Arial Narrow" w:hAnsi="Arial Narrow" w:cs="Arial Narrow"/>
              </w:rPr>
            </w:pPr>
          </w:p>
        </w:tc>
        <w:tc>
          <w:tcPr>
            <w:tcW w:w="3402" w:type="dxa"/>
            <w:tcBorders>
              <w:top w:val="single" w:sz="4" w:space="0" w:color="auto"/>
              <w:left w:val="nil"/>
              <w:bottom w:val="single" w:sz="4" w:space="0" w:color="auto"/>
              <w:right w:val="nil"/>
            </w:tcBorders>
          </w:tcPr>
          <w:p w:rsidR="008E2DCD" w:rsidRDefault="008E2DCD">
            <w:pPr>
              <w:rPr>
                <w:rFonts w:ascii="Arial Narrow" w:eastAsia="Arial Narrow" w:hAnsi="Arial Narrow" w:cs="Arial Narrow"/>
              </w:rPr>
            </w:pPr>
          </w:p>
        </w:tc>
        <w:tc>
          <w:tcPr>
            <w:tcW w:w="3112" w:type="dxa"/>
            <w:tcBorders>
              <w:top w:val="single" w:sz="4" w:space="0" w:color="auto"/>
              <w:left w:val="nil"/>
              <w:bottom w:val="single" w:sz="4" w:space="0" w:color="auto"/>
              <w:right w:val="nil"/>
            </w:tcBorders>
          </w:tcPr>
          <w:p w:rsidR="008E2DCD" w:rsidRDefault="008E2DCD">
            <w:pPr>
              <w:rPr>
                <w:rFonts w:ascii="Arial Narrow" w:eastAsia="Arial Narrow" w:hAnsi="Arial Narrow" w:cs="Arial Narrow"/>
              </w:rPr>
            </w:pPr>
          </w:p>
        </w:tc>
      </w:tr>
    </w:tbl>
    <w:tbl>
      <w:tblPr>
        <w:tblStyle w:val="a7"/>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rsidTr="008E2DCD">
        <w:tc>
          <w:tcPr>
            <w:tcW w:w="8494" w:type="dxa"/>
            <w:tcBorders>
              <w:top w:val="single" w:sz="4" w:space="0" w:color="auto"/>
              <w:left w:val="single" w:sz="4" w:space="0" w:color="auto"/>
              <w:bottom w:val="single" w:sz="4" w:space="0" w:color="auto"/>
              <w:right w:val="single" w:sz="4" w:space="0" w:color="auto"/>
            </w:tcBorders>
          </w:tcPr>
          <w:p w:rsidR="00B46287" w:rsidRDefault="0084168E">
            <w:pPr>
              <w:numPr>
                <w:ilvl w:val="0"/>
                <w:numId w:val="4"/>
              </w:numPr>
              <w:pBdr>
                <w:top w:val="nil"/>
                <w:left w:val="nil"/>
                <w:bottom w:val="nil"/>
                <w:right w:val="nil"/>
                <w:between w:val="nil"/>
              </w:pBdr>
              <w:rPr>
                <w:color w:val="000000"/>
              </w:rPr>
            </w:pPr>
            <w:r>
              <w:lastRenderedPageBreak/>
              <w:br w:type="page"/>
            </w:r>
            <w:r>
              <w:rPr>
                <w:rFonts w:ascii="Arial Narrow" w:eastAsia="Arial Narrow" w:hAnsi="Arial Narrow" w:cs="Arial Narrow"/>
                <w:color w:val="000000"/>
              </w:rPr>
              <w:t xml:space="preserve">Evaluación: </w:t>
            </w:r>
          </w:p>
        </w:tc>
      </w:tr>
      <w:tr w:rsidR="00B46287" w:rsidTr="008E2DCD">
        <w:tc>
          <w:tcPr>
            <w:tcW w:w="8494" w:type="dxa"/>
            <w:tcBorders>
              <w:top w:val="single" w:sz="4" w:space="0" w:color="auto"/>
            </w:tcBorders>
          </w:tcPr>
          <w:p w:rsidR="00814D87" w:rsidRPr="00814D87" w:rsidRDefault="00814D87" w:rsidP="00814D87">
            <w:pPr>
              <w:spacing w:line="276" w:lineRule="auto"/>
              <w:rPr>
                <w:rFonts w:ascii="Arial Narrow" w:eastAsia="Arial Narrow" w:hAnsi="Arial Narrow" w:cs="Arial Narrow"/>
                <w:color w:val="000000"/>
              </w:rPr>
            </w:pPr>
            <w:bookmarkStart w:id="1" w:name="_gjdgxs" w:colFirst="0" w:colLast="0"/>
            <w:bookmarkEnd w:id="1"/>
            <w:r w:rsidRPr="00814D87">
              <w:rPr>
                <w:rFonts w:ascii="Arial Narrow" w:eastAsia="Arial Narrow" w:hAnsi="Arial Narrow" w:cs="Arial Narrow"/>
                <w:color w:val="000000"/>
              </w:rPr>
              <w:t>Las evaluaciones se realizarán de manera sistemática enfatizando alternativamente procesos y resultados.</w:t>
            </w:r>
          </w:p>
          <w:p w:rsidR="00814D87" w:rsidRPr="00814D87" w:rsidRDefault="00814D87" w:rsidP="00814D87">
            <w:pPr>
              <w:spacing w:line="276" w:lineRule="auto"/>
              <w:rPr>
                <w:rFonts w:ascii="Arial Narrow" w:eastAsia="Arial Narrow" w:hAnsi="Arial Narrow" w:cs="Arial Narrow"/>
                <w:color w:val="000000"/>
              </w:rPr>
            </w:pPr>
            <w:r w:rsidRPr="00814D87">
              <w:rPr>
                <w:rFonts w:ascii="Arial Narrow" w:eastAsia="Arial Narrow" w:hAnsi="Arial Narrow" w:cs="Arial Narrow"/>
                <w:color w:val="000000"/>
              </w:rPr>
              <w:t xml:space="preserve">Para evaluar procesos, se utilizará la revisión periódica de una bitácora </w:t>
            </w:r>
            <w:r w:rsidR="00A76E1F">
              <w:rPr>
                <w:rFonts w:ascii="Arial Narrow" w:eastAsia="Arial Narrow" w:hAnsi="Arial Narrow" w:cs="Arial Narrow"/>
                <w:color w:val="000000"/>
              </w:rPr>
              <w:t xml:space="preserve">digital </w:t>
            </w:r>
            <w:r w:rsidRPr="00814D87">
              <w:rPr>
                <w:rFonts w:ascii="Arial Narrow" w:eastAsia="Arial Narrow" w:hAnsi="Arial Narrow" w:cs="Arial Narrow"/>
                <w:color w:val="000000"/>
              </w:rPr>
              <w:t>de desarrollo de proyecto</w:t>
            </w:r>
            <w:r w:rsidR="00A76E1F">
              <w:rPr>
                <w:rFonts w:ascii="Arial Narrow" w:eastAsia="Arial Narrow" w:hAnsi="Arial Narrow" w:cs="Arial Narrow"/>
                <w:color w:val="000000"/>
              </w:rPr>
              <w:t xml:space="preserve"> (probablemente en plataforma Google </w:t>
            </w:r>
            <w:proofErr w:type="spellStart"/>
            <w:r w:rsidR="00A76E1F">
              <w:rPr>
                <w:rFonts w:ascii="Arial Narrow" w:eastAsia="Arial Narrow" w:hAnsi="Arial Narrow" w:cs="Arial Narrow"/>
                <w:color w:val="000000"/>
              </w:rPr>
              <w:t>Docs</w:t>
            </w:r>
            <w:proofErr w:type="spellEnd"/>
            <w:r w:rsidR="00A76E1F">
              <w:rPr>
                <w:rFonts w:ascii="Arial Narrow" w:eastAsia="Arial Narrow" w:hAnsi="Arial Narrow" w:cs="Arial Narrow"/>
                <w:color w:val="000000"/>
              </w:rPr>
              <w:t>)</w:t>
            </w:r>
            <w:r w:rsidRPr="00814D87">
              <w:rPr>
                <w:rFonts w:ascii="Arial Narrow" w:eastAsia="Arial Narrow" w:hAnsi="Arial Narrow" w:cs="Arial Narrow"/>
                <w:color w:val="000000"/>
              </w:rPr>
              <w:t>, que los estudiantes utilizarán para organizar sus observaciones, registros, bosquejos de proyecto e imágenes de referencia</w:t>
            </w:r>
            <w:r w:rsidR="00A76E1F">
              <w:rPr>
                <w:rFonts w:ascii="Arial Narrow" w:eastAsia="Arial Narrow" w:hAnsi="Arial Narrow" w:cs="Arial Narrow"/>
                <w:color w:val="000000"/>
              </w:rPr>
              <w:t>, que los profesores podrán comentar en el mismo documento virtual</w:t>
            </w:r>
            <w:r w:rsidRPr="00814D87">
              <w:rPr>
                <w:rFonts w:ascii="Arial Narrow" w:eastAsia="Arial Narrow" w:hAnsi="Arial Narrow" w:cs="Arial Narrow"/>
                <w:color w:val="000000"/>
              </w:rPr>
              <w:t xml:space="preserve">. </w:t>
            </w:r>
            <w:r w:rsidR="00A76E1F">
              <w:rPr>
                <w:rFonts w:ascii="Arial Narrow" w:eastAsia="Arial Narrow" w:hAnsi="Arial Narrow" w:cs="Arial Narrow"/>
                <w:color w:val="000000"/>
              </w:rPr>
              <w:t xml:space="preserve">A partir de </w:t>
            </w:r>
            <w:r w:rsidR="00A76E1F" w:rsidRPr="00814D87">
              <w:rPr>
                <w:rFonts w:ascii="Arial Narrow" w:eastAsia="Arial Narrow" w:hAnsi="Arial Narrow" w:cs="Arial Narrow"/>
                <w:color w:val="000000"/>
              </w:rPr>
              <w:t>esta bitácora</w:t>
            </w:r>
            <w:r w:rsidR="00A76E1F">
              <w:rPr>
                <w:rFonts w:ascii="Arial Narrow" w:eastAsia="Arial Narrow" w:hAnsi="Arial Narrow" w:cs="Arial Narrow"/>
                <w:color w:val="000000"/>
              </w:rPr>
              <w:t>,</w:t>
            </w:r>
            <w:r w:rsidR="00A76E1F" w:rsidRPr="00814D87">
              <w:rPr>
                <w:rFonts w:ascii="Arial Narrow" w:eastAsia="Arial Narrow" w:hAnsi="Arial Narrow" w:cs="Arial Narrow"/>
                <w:color w:val="000000"/>
              </w:rPr>
              <w:t xml:space="preserve"> </w:t>
            </w:r>
            <w:r w:rsidR="00A76E1F">
              <w:rPr>
                <w:rFonts w:ascii="Arial Narrow" w:eastAsia="Arial Narrow" w:hAnsi="Arial Narrow" w:cs="Arial Narrow"/>
                <w:color w:val="000000"/>
              </w:rPr>
              <w:t>l</w:t>
            </w:r>
            <w:r w:rsidRPr="00814D87">
              <w:rPr>
                <w:rFonts w:ascii="Arial Narrow" w:eastAsia="Arial Narrow" w:hAnsi="Arial Narrow" w:cs="Arial Narrow"/>
                <w:color w:val="000000"/>
              </w:rPr>
              <w:t xml:space="preserve">os estudiantes deberán desarrollar </w:t>
            </w:r>
            <w:r w:rsidR="008E2DCD">
              <w:rPr>
                <w:rFonts w:ascii="Arial Narrow" w:eastAsia="Arial Narrow" w:hAnsi="Arial Narrow" w:cs="Arial Narrow"/>
                <w:color w:val="000000"/>
              </w:rPr>
              <w:t>la edición del portafolio final</w:t>
            </w:r>
            <w:r w:rsidRPr="00814D87">
              <w:rPr>
                <w:rFonts w:ascii="Arial Narrow" w:eastAsia="Arial Narrow" w:hAnsi="Arial Narrow" w:cs="Arial Narrow"/>
                <w:color w:val="000000"/>
              </w:rPr>
              <w:t>.</w:t>
            </w:r>
          </w:p>
          <w:p w:rsidR="00B46287" w:rsidRDefault="00814D87" w:rsidP="00814D87">
            <w:pPr>
              <w:spacing w:line="276" w:lineRule="auto"/>
              <w:rPr>
                <w:rFonts w:ascii="Arial Narrow" w:eastAsia="Arial Narrow" w:hAnsi="Arial Narrow" w:cs="Arial Narrow"/>
              </w:rPr>
            </w:pPr>
            <w:r w:rsidRPr="00814D87">
              <w:rPr>
                <w:rFonts w:ascii="Arial Narrow" w:eastAsia="Arial Narrow" w:hAnsi="Arial Narrow" w:cs="Arial Narrow"/>
                <w:color w:val="000000"/>
              </w:rPr>
              <w:t xml:space="preserve">Para evaluar resultados, se emplearán evaluaciones </w:t>
            </w:r>
            <w:proofErr w:type="spellStart"/>
            <w:r w:rsidRPr="00814D87">
              <w:rPr>
                <w:rFonts w:ascii="Arial Narrow" w:eastAsia="Arial Narrow" w:hAnsi="Arial Narrow" w:cs="Arial Narrow"/>
                <w:color w:val="000000"/>
              </w:rPr>
              <w:t>sumativas</w:t>
            </w:r>
            <w:proofErr w:type="spellEnd"/>
            <w:r w:rsidRPr="00814D87">
              <w:rPr>
                <w:rFonts w:ascii="Arial Narrow" w:eastAsia="Arial Narrow" w:hAnsi="Arial Narrow" w:cs="Arial Narrow"/>
                <w:color w:val="000000"/>
              </w:rPr>
              <w:t xml:space="preserve"> (notas), debiéndose definir claramente la ponderación de las calificaciones y los criterios de evaluación mediante una rúbrica conocida por los estudiantes que explica escalas o rangos de notas y estándares de logros por niveles según los resultados de aprendizaje y competencias que cada ejercicio considere.</w:t>
            </w:r>
          </w:p>
        </w:tc>
      </w:tr>
    </w:tbl>
    <w:tbl>
      <w:tblPr>
        <w:tblStyle w:val="a8"/>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t>Requisitos de aprobación:</w:t>
            </w:r>
          </w:p>
        </w:tc>
      </w:tr>
      <w:tr w:rsidR="00B46287">
        <w:tc>
          <w:tcPr>
            <w:tcW w:w="8494" w:type="dxa"/>
          </w:tcPr>
          <w:p w:rsidR="00B46287" w:rsidRDefault="0084168E">
            <w:pPr>
              <w:spacing w:line="276" w:lineRule="auto"/>
              <w:rPr>
                <w:rFonts w:ascii="Arial Narrow" w:eastAsia="Arial Narrow" w:hAnsi="Arial Narrow" w:cs="Arial Narrow"/>
                <w:color w:val="000000"/>
              </w:rPr>
            </w:pPr>
            <w:r>
              <w:rPr>
                <w:rFonts w:ascii="Arial Narrow" w:eastAsia="Arial Narrow" w:hAnsi="Arial Narrow" w:cs="Arial Narrow"/>
                <w:color w:val="000000"/>
              </w:rPr>
              <w:t xml:space="preserve">La asignatura será aprobada con nota superior o igual a 4.0 (cuatro). </w:t>
            </w:r>
          </w:p>
          <w:p w:rsidR="00B46287" w:rsidRDefault="0084168E">
            <w:pPr>
              <w:spacing w:line="276" w:lineRule="auto"/>
              <w:rPr>
                <w:rFonts w:ascii="Arial Narrow" w:eastAsia="Arial Narrow" w:hAnsi="Arial Narrow" w:cs="Arial Narrow"/>
                <w:color w:val="000000"/>
              </w:rPr>
            </w:pPr>
            <w:r>
              <w:rPr>
                <w:rFonts w:ascii="Arial Narrow" w:eastAsia="Arial Narrow" w:hAnsi="Arial Narrow" w:cs="Arial Narrow"/>
                <w:color w:val="000000"/>
              </w:rPr>
              <w:t xml:space="preserve">Se contemplará una asistencia mínima del 75% (de acuerdo a reglamento). </w:t>
            </w:r>
          </w:p>
          <w:p w:rsidR="00B46287" w:rsidRDefault="00B46287">
            <w:pPr>
              <w:rPr>
                <w:rFonts w:ascii="Arial Narrow" w:eastAsia="Arial Narrow" w:hAnsi="Arial Narrow" w:cs="Arial Narrow"/>
              </w:rPr>
            </w:pPr>
          </w:p>
        </w:tc>
      </w:tr>
    </w:tbl>
    <w:tbl>
      <w:tblPr>
        <w:tblStyle w:val="a9"/>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t xml:space="preserve">Palabras Clave: </w:t>
            </w:r>
          </w:p>
          <w:p w:rsidR="00B46287" w:rsidRDefault="0084168E" w:rsidP="00814D87">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ARQUITECTURA; </w:t>
            </w:r>
            <w:r w:rsidR="00814D87">
              <w:rPr>
                <w:rFonts w:ascii="Arial Narrow" w:eastAsia="Arial Narrow" w:hAnsi="Arial Narrow" w:cs="Arial Narrow"/>
                <w:color w:val="000000"/>
              </w:rPr>
              <w:t>PROGRAMA</w:t>
            </w:r>
            <w:r>
              <w:rPr>
                <w:rFonts w:ascii="Arial Narrow" w:eastAsia="Arial Narrow" w:hAnsi="Arial Narrow" w:cs="Arial Narrow"/>
                <w:color w:val="000000"/>
              </w:rPr>
              <w:t xml:space="preserve">; </w:t>
            </w:r>
            <w:r w:rsidR="00DD6880">
              <w:rPr>
                <w:rFonts w:ascii="Arial Narrow" w:eastAsia="Arial Narrow" w:hAnsi="Arial Narrow" w:cs="Arial Narrow"/>
                <w:color w:val="000000"/>
              </w:rPr>
              <w:t xml:space="preserve">LUGAR; COMUNIDAD; </w:t>
            </w:r>
            <w:r w:rsidR="00814D87">
              <w:rPr>
                <w:rFonts w:ascii="Arial Narrow" w:eastAsia="Arial Narrow" w:hAnsi="Arial Narrow" w:cs="Arial Narrow"/>
                <w:color w:val="000000"/>
              </w:rPr>
              <w:t>PROYECTO</w:t>
            </w:r>
            <w:r>
              <w:rPr>
                <w:rFonts w:ascii="Arial Narrow" w:eastAsia="Arial Narrow" w:hAnsi="Arial Narrow" w:cs="Arial Narrow"/>
                <w:color w:val="000000"/>
              </w:rPr>
              <w:t xml:space="preserve">; </w:t>
            </w:r>
            <w:r w:rsidR="00814D87">
              <w:rPr>
                <w:rFonts w:ascii="Arial Narrow" w:eastAsia="Arial Narrow" w:hAnsi="Arial Narrow" w:cs="Arial Narrow"/>
                <w:color w:val="000000"/>
              </w:rPr>
              <w:t>PROCESO DE DISEÑO</w:t>
            </w:r>
            <w:r>
              <w:rPr>
                <w:rFonts w:ascii="Arial Narrow" w:eastAsia="Arial Narrow" w:hAnsi="Arial Narrow" w:cs="Arial Narrow"/>
                <w:color w:val="000000"/>
              </w:rPr>
              <w:t xml:space="preserve">; </w:t>
            </w:r>
            <w:r w:rsidR="00814D87">
              <w:rPr>
                <w:rFonts w:ascii="Arial Narrow" w:eastAsia="Arial Narrow" w:hAnsi="Arial Narrow" w:cs="Arial Narrow"/>
                <w:color w:val="000000"/>
              </w:rPr>
              <w:t>PROBLEMA DE DISEÑO; REFERENTES</w:t>
            </w:r>
            <w:r w:rsidR="00DD6880">
              <w:rPr>
                <w:rFonts w:ascii="Arial Narrow" w:eastAsia="Arial Narrow" w:hAnsi="Arial Narrow" w:cs="Arial Narrow"/>
                <w:color w:val="000000"/>
              </w:rPr>
              <w:t>; EQUIPO DE PROYECTO</w:t>
            </w:r>
          </w:p>
          <w:p w:rsidR="00B46287" w:rsidRDefault="00B46287">
            <w:pPr>
              <w:pBdr>
                <w:top w:val="nil"/>
                <w:left w:val="nil"/>
                <w:bottom w:val="nil"/>
                <w:right w:val="nil"/>
                <w:between w:val="nil"/>
              </w:pBdr>
              <w:ind w:left="720" w:hanging="720"/>
              <w:rPr>
                <w:rFonts w:ascii="Arial Narrow" w:eastAsia="Arial Narrow" w:hAnsi="Arial Narrow" w:cs="Arial Narrow"/>
                <w:color w:val="000000"/>
              </w:rPr>
            </w:pPr>
          </w:p>
        </w:tc>
      </w:tr>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t xml:space="preserve">Bibliografía Obligatoria </w:t>
            </w:r>
          </w:p>
        </w:tc>
      </w:tr>
      <w:tr w:rsidR="00B46287">
        <w:tc>
          <w:tcPr>
            <w:tcW w:w="8494" w:type="dxa"/>
          </w:tcPr>
          <w:p w:rsidR="008E2DCD" w:rsidRPr="008E2DCD" w:rsidRDefault="008E2DCD" w:rsidP="008E2DCD">
            <w:pPr>
              <w:spacing w:line="240" w:lineRule="atLeast"/>
              <w:rPr>
                <w:rFonts w:ascii="Arial Narrow" w:hAnsi="Arial Narrow"/>
              </w:rPr>
            </w:pPr>
            <w:r w:rsidRPr="008E2DCD">
              <w:rPr>
                <w:rFonts w:ascii="Arial Narrow" w:hAnsi="Arial Narrow"/>
              </w:rPr>
              <w:t>Alexander, C., 1976. Ensayo sobre la síntesis de la forma. Buenos Aires: Infinito.</w:t>
            </w:r>
          </w:p>
          <w:p w:rsidR="008E2DCD" w:rsidRPr="008E2DCD" w:rsidRDefault="008E2DCD" w:rsidP="008E2DCD">
            <w:pPr>
              <w:spacing w:line="240" w:lineRule="atLeast"/>
              <w:rPr>
                <w:rFonts w:ascii="Arial Narrow" w:hAnsi="Arial Narrow"/>
                <w:lang w:val="en-US"/>
              </w:rPr>
            </w:pPr>
            <w:r w:rsidRPr="008E2DCD">
              <w:rPr>
                <w:rFonts w:ascii="Arial Narrow" w:hAnsi="Arial Narrow"/>
              </w:rPr>
              <w:t xml:space="preserve">Buchanan, R., s.f. Retórica, humanismo y diseño. Recuperado el 5 de marzo de 2018 desde </w:t>
            </w:r>
            <w:hyperlink r:id="rId7" w:history="1">
              <w:r w:rsidRPr="008E2DCD">
                <w:rPr>
                  <w:rStyle w:val="Hipervnculo"/>
                  <w:rFonts w:ascii="Arial Narrow" w:hAnsi="Arial Narrow"/>
                </w:rPr>
                <w:t>www.mexicanosdisenando.org.mx/.../Retorica%20humanismo%20y%20diseno.doc</w:t>
              </w:r>
            </w:hyperlink>
            <w:r w:rsidRPr="008E2DCD">
              <w:rPr>
                <w:rFonts w:ascii="Arial Narrow" w:hAnsi="Arial Narrow"/>
              </w:rPr>
              <w:t xml:space="preserve">. Originalmente publicado como Buchanan, R., 1995. </w:t>
            </w:r>
            <w:proofErr w:type="spellStart"/>
            <w:r w:rsidRPr="008E2DCD">
              <w:rPr>
                <w:rFonts w:ascii="Arial Narrow" w:hAnsi="Arial Narrow"/>
              </w:rPr>
              <w:t>Rhetoric</w:t>
            </w:r>
            <w:proofErr w:type="spellEnd"/>
            <w:r w:rsidRPr="008E2DCD">
              <w:rPr>
                <w:rFonts w:ascii="Arial Narrow" w:hAnsi="Arial Narrow"/>
              </w:rPr>
              <w:t xml:space="preserve">, </w:t>
            </w:r>
            <w:proofErr w:type="spellStart"/>
            <w:r w:rsidRPr="008E2DCD">
              <w:rPr>
                <w:rFonts w:ascii="Arial Narrow" w:hAnsi="Arial Narrow"/>
              </w:rPr>
              <w:t>humanism</w:t>
            </w:r>
            <w:proofErr w:type="spellEnd"/>
            <w:r w:rsidRPr="008E2DCD">
              <w:rPr>
                <w:rFonts w:ascii="Arial Narrow" w:hAnsi="Arial Narrow"/>
              </w:rPr>
              <w:t xml:space="preserve"> and </w:t>
            </w:r>
            <w:proofErr w:type="spellStart"/>
            <w:r w:rsidRPr="008E2DCD">
              <w:rPr>
                <w:rFonts w:ascii="Arial Narrow" w:hAnsi="Arial Narrow"/>
              </w:rPr>
              <w:t>design</w:t>
            </w:r>
            <w:proofErr w:type="spellEnd"/>
            <w:r w:rsidRPr="008E2DCD">
              <w:rPr>
                <w:rFonts w:ascii="Arial Narrow" w:hAnsi="Arial Narrow"/>
              </w:rPr>
              <w:t xml:space="preserve">. En: Buchanan, R. y </w:t>
            </w:r>
            <w:proofErr w:type="spellStart"/>
            <w:r w:rsidRPr="008E2DCD">
              <w:rPr>
                <w:rFonts w:ascii="Arial Narrow" w:hAnsi="Arial Narrow"/>
              </w:rPr>
              <w:t>Margolin</w:t>
            </w:r>
            <w:proofErr w:type="spellEnd"/>
            <w:r w:rsidRPr="008E2DCD">
              <w:rPr>
                <w:rFonts w:ascii="Arial Narrow" w:hAnsi="Arial Narrow"/>
              </w:rPr>
              <w:t xml:space="preserve">, V. eds. </w:t>
            </w:r>
            <w:r w:rsidRPr="008E2DCD">
              <w:rPr>
                <w:rFonts w:ascii="Arial Narrow" w:hAnsi="Arial Narrow"/>
                <w:lang w:val="en-US"/>
              </w:rPr>
              <w:t>Discovering Design: Explorations in Design Studies. Chicago: University of Chicago Press, 23–68.</w:t>
            </w:r>
          </w:p>
          <w:p w:rsidR="008E2DCD" w:rsidRPr="008E2DCD" w:rsidRDefault="008E2DCD" w:rsidP="008E2DCD">
            <w:pPr>
              <w:spacing w:line="240" w:lineRule="atLeast"/>
              <w:rPr>
                <w:rFonts w:ascii="Arial Narrow" w:hAnsi="Arial Narrow"/>
              </w:rPr>
            </w:pPr>
            <w:r w:rsidRPr="008E2DCD">
              <w:rPr>
                <w:rFonts w:ascii="Arial Narrow" w:hAnsi="Arial Narrow"/>
              </w:rPr>
              <w:t xml:space="preserve">Buchanan, R., s.f. Problemas perversos en el pensamiento de diseño. Recuperado el 5 de marzo de 2018 desde </w:t>
            </w:r>
            <w:hyperlink r:id="rId8" w:history="1">
              <w:r w:rsidRPr="008E2DCD">
                <w:rPr>
                  <w:rStyle w:val="Hipervnculo"/>
                  <w:rFonts w:ascii="Arial Narrow" w:hAnsi="Arial Narrow"/>
                </w:rPr>
                <w:t>http://mexicanosdisenando.org.mx/WebMaster/Articulos/WICK_fin_AL[2].DOC</w:t>
              </w:r>
            </w:hyperlink>
            <w:r w:rsidRPr="008E2DCD">
              <w:rPr>
                <w:rFonts w:ascii="Arial Narrow" w:hAnsi="Arial Narrow"/>
              </w:rPr>
              <w:t xml:space="preserve">. </w:t>
            </w:r>
            <w:proofErr w:type="spellStart"/>
            <w:r w:rsidRPr="008E2DCD">
              <w:rPr>
                <w:rFonts w:ascii="Arial Narrow" w:hAnsi="Arial Narrow"/>
                <w:lang w:val="en-US"/>
              </w:rPr>
              <w:t>Originalmente</w:t>
            </w:r>
            <w:proofErr w:type="spellEnd"/>
            <w:r w:rsidRPr="008E2DCD">
              <w:rPr>
                <w:rFonts w:ascii="Arial Narrow" w:hAnsi="Arial Narrow"/>
                <w:lang w:val="en-US"/>
              </w:rPr>
              <w:t xml:space="preserve"> </w:t>
            </w:r>
            <w:proofErr w:type="spellStart"/>
            <w:r w:rsidRPr="008E2DCD">
              <w:rPr>
                <w:rFonts w:ascii="Arial Narrow" w:hAnsi="Arial Narrow"/>
                <w:lang w:val="en-US"/>
              </w:rPr>
              <w:t>publicado</w:t>
            </w:r>
            <w:proofErr w:type="spellEnd"/>
            <w:r w:rsidRPr="008E2DCD">
              <w:rPr>
                <w:rFonts w:ascii="Arial Narrow" w:hAnsi="Arial Narrow"/>
                <w:lang w:val="en-US"/>
              </w:rPr>
              <w:t xml:space="preserve"> </w:t>
            </w:r>
            <w:proofErr w:type="spellStart"/>
            <w:r w:rsidRPr="008E2DCD">
              <w:rPr>
                <w:rFonts w:ascii="Arial Narrow" w:hAnsi="Arial Narrow"/>
                <w:lang w:val="en-US"/>
              </w:rPr>
              <w:t>como</w:t>
            </w:r>
            <w:proofErr w:type="spellEnd"/>
            <w:r w:rsidRPr="008E2DCD">
              <w:rPr>
                <w:rFonts w:ascii="Arial Narrow" w:hAnsi="Arial Narrow"/>
                <w:lang w:val="en-US"/>
              </w:rPr>
              <w:t xml:space="preserve"> Buchanan, R., 1992. Wicked Problems in Design Thinking. </w:t>
            </w:r>
            <w:proofErr w:type="spellStart"/>
            <w:r w:rsidRPr="008E2DCD">
              <w:rPr>
                <w:rFonts w:ascii="Arial Narrow" w:hAnsi="Arial Narrow"/>
              </w:rPr>
              <w:t>Design</w:t>
            </w:r>
            <w:proofErr w:type="spellEnd"/>
            <w:r w:rsidRPr="008E2DCD">
              <w:rPr>
                <w:rFonts w:ascii="Arial Narrow" w:hAnsi="Arial Narrow"/>
              </w:rPr>
              <w:t xml:space="preserve"> </w:t>
            </w:r>
            <w:proofErr w:type="spellStart"/>
            <w:r w:rsidRPr="008E2DCD">
              <w:rPr>
                <w:rFonts w:ascii="Arial Narrow" w:hAnsi="Arial Narrow"/>
              </w:rPr>
              <w:t>Issues</w:t>
            </w:r>
            <w:proofErr w:type="spellEnd"/>
            <w:r w:rsidRPr="008E2DCD">
              <w:rPr>
                <w:rFonts w:ascii="Arial Narrow" w:hAnsi="Arial Narrow"/>
              </w:rPr>
              <w:t xml:space="preserve"> 8 (2), 5–21.</w:t>
            </w:r>
          </w:p>
          <w:p w:rsidR="008E2DCD" w:rsidRPr="008E2DCD" w:rsidRDefault="008E2DCD" w:rsidP="008E2DCD">
            <w:pPr>
              <w:pStyle w:val="Normal1"/>
              <w:rPr>
                <w:rFonts w:ascii="Arial Narrow" w:eastAsia="Calibri" w:hAnsi="Arial Narrow" w:cs="Calibri"/>
                <w:sz w:val="22"/>
                <w:szCs w:val="22"/>
              </w:rPr>
            </w:pPr>
            <w:r w:rsidRPr="008E2DCD">
              <w:rPr>
                <w:rFonts w:ascii="Arial Narrow" w:eastAsia="Calibri" w:hAnsi="Arial Narrow" w:cs="Calibri"/>
                <w:sz w:val="22"/>
                <w:szCs w:val="22"/>
              </w:rPr>
              <w:t>De Bono, E., 2013. El pensamiento lateral: manual de creatividad. Barcelona: Paidós.</w:t>
            </w:r>
          </w:p>
          <w:p w:rsidR="008E2DCD" w:rsidRPr="008E2DCD" w:rsidRDefault="008E2DCD" w:rsidP="008E2DCD">
            <w:pPr>
              <w:pStyle w:val="Normal1"/>
              <w:rPr>
                <w:rFonts w:ascii="Arial Narrow" w:eastAsia="Calibri" w:hAnsi="Arial Narrow" w:cs="Calibri"/>
                <w:sz w:val="22"/>
                <w:szCs w:val="22"/>
              </w:rPr>
            </w:pPr>
            <w:r w:rsidRPr="008E2DCD">
              <w:rPr>
                <w:rFonts w:ascii="Arial Narrow" w:eastAsia="Calibri" w:hAnsi="Arial Narrow" w:cs="Calibri"/>
                <w:sz w:val="22"/>
                <w:szCs w:val="22"/>
              </w:rPr>
              <w:t>Jones, JC., 1976. Métodos de diseño. Barcelona: Gustavo Gili.</w:t>
            </w:r>
          </w:p>
          <w:p w:rsidR="008E2DCD" w:rsidRPr="008E2DCD" w:rsidRDefault="008E2DCD" w:rsidP="008E2DCD">
            <w:pPr>
              <w:pStyle w:val="Normal1"/>
              <w:rPr>
                <w:rFonts w:ascii="Arial Narrow" w:eastAsia="Calibri" w:hAnsi="Arial Narrow" w:cs="Calibri"/>
                <w:sz w:val="22"/>
                <w:szCs w:val="22"/>
              </w:rPr>
            </w:pPr>
            <w:r w:rsidRPr="008E2DCD">
              <w:rPr>
                <w:rFonts w:ascii="Arial Narrow" w:eastAsia="Calibri" w:hAnsi="Arial Narrow" w:cs="Calibri"/>
                <w:sz w:val="22"/>
                <w:szCs w:val="22"/>
              </w:rPr>
              <w:t>Margolin, V., 1991. Los estudios de diseño y la educación de los diseñadores. Temes de Disseny, 6, 44-48.</w:t>
            </w:r>
          </w:p>
          <w:p w:rsidR="008E2DCD" w:rsidRPr="008E2DCD" w:rsidRDefault="008E2DCD" w:rsidP="008E2DCD">
            <w:pPr>
              <w:pStyle w:val="Normal1"/>
              <w:rPr>
                <w:rFonts w:ascii="Arial Narrow" w:eastAsia="Calibri" w:hAnsi="Arial Narrow" w:cs="Calibri"/>
                <w:sz w:val="22"/>
                <w:szCs w:val="22"/>
              </w:rPr>
            </w:pPr>
            <w:r w:rsidRPr="008E2DCD">
              <w:rPr>
                <w:rFonts w:ascii="Arial Narrow" w:eastAsia="Calibri" w:hAnsi="Arial Narrow" w:cs="Calibri"/>
                <w:sz w:val="22"/>
                <w:szCs w:val="22"/>
              </w:rPr>
              <w:t>Montaner, J., 2010. Arqueología de los diagramas. Cuadernos de Proyectos Arquitectónicos 1, 16-22.</w:t>
            </w:r>
          </w:p>
          <w:p w:rsidR="008E2DCD" w:rsidRPr="008E2DCD" w:rsidRDefault="008E2DCD" w:rsidP="008E2DCD">
            <w:pPr>
              <w:pStyle w:val="Normal1"/>
              <w:rPr>
                <w:rFonts w:ascii="Arial Narrow" w:eastAsia="Calibri" w:hAnsi="Arial Narrow" w:cs="Calibri"/>
                <w:sz w:val="22"/>
                <w:szCs w:val="22"/>
              </w:rPr>
            </w:pPr>
            <w:r w:rsidRPr="008E2DCD">
              <w:rPr>
                <w:rFonts w:ascii="Arial Narrow" w:eastAsia="Calibri" w:hAnsi="Arial Narrow" w:cs="Calibri"/>
                <w:sz w:val="22"/>
                <w:szCs w:val="22"/>
              </w:rPr>
              <w:t>Pantalone, M., 2006. El concepto de diseño en Ciencias de lo Artificial. En: Ahumada, J., Pantalone, M. y Rodríguez, V. eds. Epistemología e Historia de la Ciencia. Selección de trabajos de las XVI Jornadas, vol. 12. Córdoba: Universidad Nacional de Córdoba: 464-470.</w:t>
            </w:r>
          </w:p>
          <w:p w:rsidR="008E2DCD" w:rsidRPr="008E2DCD" w:rsidRDefault="008E2DCD" w:rsidP="008E2DCD">
            <w:pPr>
              <w:pStyle w:val="Normal1"/>
              <w:jc w:val="center"/>
              <w:rPr>
                <w:rFonts w:ascii="Arial Narrow" w:eastAsia="Calibri" w:hAnsi="Arial Narrow" w:cs="Calibri"/>
                <w:sz w:val="22"/>
                <w:szCs w:val="22"/>
              </w:rPr>
            </w:pPr>
          </w:p>
          <w:p w:rsidR="00B46287" w:rsidRPr="008E2DCD" w:rsidRDefault="008E2DCD" w:rsidP="008E2DCD">
            <w:pPr>
              <w:pBdr>
                <w:top w:val="nil"/>
                <w:left w:val="nil"/>
                <w:bottom w:val="nil"/>
                <w:right w:val="nil"/>
                <w:between w:val="nil"/>
              </w:pBdr>
              <w:spacing w:line="276" w:lineRule="auto"/>
              <w:jc w:val="both"/>
              <w:rPr>
                <w:rFonts w:ascii="Arial Narrow" w:eastAsia="Arial Narrow" w:hAnsi="Arial Narrow" w:cs="Arial Narrow"/>
                <w:sz w:val="18"/>
                <w:szCs w:val="18"/>
              </w:rPr>
            </w:pPr>
            <w:r w:rsidRPr="008E2DCD">
              <w:rPr>
                <w:rFonts w:ascii="Arial Narrow" w:hAnsi="Arial Narrow"/>
                <w:sz w:val="18"/>
                <w:szCs w:val="18"/>
              </w:rPr>
              <w:t>*Corresponde a textos disponibles en la biblioteca de la Facultad o en el sitio U-Cursos del taller.</w:t>
            </w:r>
          </w:p>
        </w:tc>
      </w:tr>
    </w:tbl>
    <w:p w:rsidR="00DD6880" w:rsidRDefault="00DD6880">
      <w:r>
        <w:br w:type="page"/>
      </w:r>
    </w:p>
    <w:tbl>
      <w:tblPr>
        <w:tblStyle w:val="a9"/>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c>
          <w:tcPr>
            <w:tcW w:w="8494" w:type="dxa"/>
          </w:tcPr>
          <w:p w:rsidR="00B46287" w:rsidRDefault="0084168E">
            <w:pPr>
              <w:numPr>
                <w:ilvl w:val="0"/>
                <w:numId w:val="4"/>
              </w:numPr>
              <w:pBdr>
                <w:top w:val="nil"/>
                <w:left w:val="nil"/>
                <w:bottom w:val="nil"/>
                <w:right w:val="nil"/>
                <w:between w:val="nil"/>
              </w:pBdr>
              <w:rPr>
                <w:color w:val="000000"/>
              </w:rPr>
            </w:pPr>
            <w:r>
              <w:rPr>
                <w:rFonts w:ascii="Arial Narrow" w:eastAsia="Arial Narrow" w:hAnsi="Arial Narrow" w:cs="Arial Narrow"/>
                <w:color w:val="000000"/>
              </w:rPr>
              <w:lastRenderedPageBreak/>
              <w:t>Bibliografía Complementaria:</w:t>
            </w:r>
          </w:p>
        </w:tc>
      </w:tr>
      <w:tr w:rsidR="00B46287" w:rsidTr="00FB4B8B">
        <w:trPr>
          <w:trHeight w:val="1762"/>
        </w:trPr>
        <w:tc>
          <w:tcPr>
            <w:tcW w:w="8494" w:type="dxa"/>
          </w:tcPr>
          <w:p w:rsidR="008E2DCD" w:rsidRDefault="008E2DCD" w:rsidP="008E2DCD">
            <w:pPr>
              <w:rPr>
                <w:rFonts w:ascii="Arial Narrow" w:hAnsi="Arial Narrow"/>
              </w:rPr>
            </w:pPr>
            <w:proofErr w:type="spellStart"/>
            <w:r w:rsidRPr="008E2DCD">
              <w:rPr>
                <w:rFonts w:ascii="Arial Narrow" w:hAnsi="Arial Narrow"/>
                <w:lang w:val="es-ES_tradnl"/>
              </w:rPr>
              <w:t>Aránguiz</w:t>
            </w:r>
            <w:proofErr w:type="spellEnd"/>
            <w:r w:rsidRPr="008E2DCD">
              <w:rPr>
                <w:rFonts w:ascii="Arial Narrow" w:hAnsi="Arial Narrow"/>
                <w:lang w:val="es-ES_tradnl"/>
              </w:rPr>
              <w:t xml:space="preserve">, G. y Opazo, D., 2018. Co-diseñar el problema de proyecto. Participación en diseño a escala local y uso de la </w:t>
            </w:r>
            <w:proofErr w:type="spellStart"/>
            <w:r w:rsidRPr="008E2DCD">
              <w:rPr>
                <w:rFonts w:ascii="Arial Narrow" w:hAnsi="Arial Narrow"/>
                <w:lang w:val="es-ES_tradnl"/>
              </w:rPr>
              <w:t>linkografía</w:t>
            </w:r>
            <w:proofErr w:type="spellEnd"/>
            <w:r w:rsidRPr="008E2DCD">
              <w:rPr>
                <w:rFonts w:ascii="Arial Narrow" w:hAnsi="Arial Narrow"/>
                <w:lang w:val="es-ES_tradnl"/>
              </w:rPr>
              <w:t xml:space="preserve"> como medio para estudiar las interacciones de diseño. </w:t>
            </w:r>
            <w:r w:rsidRPr="008E2DCD">
              <w:rPr>
                <w:rFonts w:ascii="Arial Narrow" w:hAnsi="Arial Narrow"/>
                <w:lang w:val="es-CL"/>
              </w:rPr>
              <w:t xml:space="preserve">Revista 180, 42, </w:t>
            </w:r>
            <w:r>
              <w:rPr>
                <w:rFonts w:ascii="Arial Narrow" w:hAnsi="Arial Narrow"/>
                <w:lang w:val="es-CL"/>
              </w:rPr>
              <w:t>49-59.</w:t>
            </w:r>
            <w:r>
              <w:rPr>
                <w:rStyle w:val="apple-converted-space"/>
                <w:rFonts w:ascii="Arial" w:hAnsi="Arial" w:cs="Arial"/>
                <w:color w:val="333333"/>
                <w:sz w:val="15"/>
                <w:szCs w:val="15"/>
                <w:shd w:val="clear" w:color="auto" w:fill="FFFFFF"/>
              </w:rPr>
              <w:t> </w:t>
            </w:r>
            <w:hyperlink r:id="rId9" w:history="1">
              <w:r w:rsidRPr="008E2DCD">
                <w:rPr>
                  <w:rStyle w:val="Hipervnculo"/>
                  <w:rFonts w:ascii="Arial Narrow" w:hAnsi="Arial Narrow" w:cs="Arial"/>
                  <w:color w:val="808080"/>
                </w:rPr>
                <w:t>http://dx.doi.org/10.32995/rev180.Num-42.(2018).art-394</w:t>
              </w:r>
            </w:hyperlink>
          </w:p>
          <w:p w:rsidR="008E2DCD" w:rsidRDefault="008E2DCD" w:rsidP="008E2DCD">
            <w:pPr>
              <w:rPr>
                <w:rFonts w:ascii="Arial Narrow" w:eastAsia="Arial" w:hAnsi="Arial Narrow" w:cs="Arial"/>
                <w:lang w:val="en-US"/>
              </w:rPr>
            </w:pPr>
            <w:r w:rsidRPr="008E2DCD">
              <w:rPr>
                <w:rFonts w:ascii="Arial Narrow" w:hAnsi="Arial Narrow"/>
                <w:lang w:val="es-CL"/>
              </w:rPr>
              <w:t>Bannon</w:t>
            </w:r>
            <w:r w:rsidRPr="008E2DCD">
              <w:rPr>
                <w:rFonts w:ascii="Arial Narrow" w:eastAsia="Arial" w:hAnsi="Arial Narrow" w:cs="Arial"/>
                <w:lang w:val="es-CL"/>
              </w:rPr>
              <w:t xml:space="preserve">, L. &amp; Ehn, P. (2013). </w:t>
            </w:r>
            <w:r w:rsidRPr="008E2DCD">
              <w:rPr>
                <w:rFonts w:ascii="Arial Narrow" w:eastAsia="Arial" w:hAnsi="Arial Narrow" w:cs="Arial"/>
                <w:lang w:val="en-US"/>
              </w:rPr>
              <w:t xml:space="preserve">Design. Design matters in participatory design. </w:t>
            </w:r>
            <w:proofErr w:type="spellStart"/>
            <w:r w:rsidRPr="008E2DCD">
              <w:rPr>
                <w:rFonts w:ascii="Arial Narrow" w:eastAsia="Arial" w:hAnsi="Arial Narrow" w:cs="Arial"/>
                <w:lang w:val="en-US"/>
              </w:rPr>
              <w:t>En</w:t>
            </w:r>
            <w:proofErr w:type="spellEnd"/>
            <w:r w:rsidRPr="008E2DCD">
              <w:rPr>
                <w:rFonts w:ascii="Arial Narrow" w:eastAsia="Arial" w:hAnsi="Arial Narrow" w:cs="Arial"/>
                <w:lang w:val="en-US"/>
              </w:rPr>
              <w:t xml:space="preserve"> J. Simonsen &amp; T. Robertson (Eds.), Routledge International Handbook of Participatory Design (pp. 37–63). New York: Routledge. </w:t>
            </w:r>
          </w:p>
          <w:p w:rsidR="008E2DCD" w:rsidRPr="008E2DCD" w:rsidRDefault="008E2DCD" w:rsidP="008E2DCD">
            <w:pPr>
              <w:pStyle w:val="Normal1"/>
              <w:spacing w:after="120"/>
              <w:ind w:left="33"/>
              <w:jc w:val="both"/>
              <w:rPr>
                <w:rFonts w:ascii="Arial Narrow" w:eastAsia="Arial" w:hAnsi="Arial Narrow" w:cs="Arial"/>
                <w:sz w:val="22"/>
                <w:szCs w:val="22"/>
                <w:lang w:val="en-US"/>
              </w:rPr>
            </w:pPr>
            <w:r w:rsidRPr="008E2DCD">
              <w:rPr>
                <w:rFonts w:ascii="Arial Narrow" w:eastAsia="Arial" w:hAnsi="Arial Narrow" w:cs="Arial"/>
                <w:sz w:val="22"/>
                <w:szCs w:val="22"/>
                <w:lang w:val="en-US"/>
              </w:rPr>
              <w:t>Cross, N. (2013). Design thinking: Understanding how designers think and work. London: Bloomsbury Academic.</w:t>
            </w:r>
          </w:p>
          <w:p w:rsidR="008E2DCD" w:rsidRPr="008E2DCD" w:rsidRDefault="008E2DCD" w:rsidP="008E2DCD">
            <w:pPr>
              <w:pStyle w:val="Normal1"/>
              <w:spacing w:after="120"/>
              <w:ind w:left="33"/>
              <w:jc w:val="both"/>
              <w:rPr>
                <w:rFonts w:ascii="Arial Narrow" w:eastAsia="Arial" w:hAnsi="Arial Narrow" w:cs="Arial"/>
                <w:sz w:val="22"/>
                <w:szCs w:val="22"/>
                <w:lang w:val="en-US"/>
              </w:rPr>
            </w:pPr>
            <w:r w:rsidRPr="008E2DCD">
              <w:rPr>
                <w:rFonts w:ascii="Arial Narrow" w:eastAsia="Arial" w:hAnsi="Arial Narrow" w:cs="Arial"/>
                <w:sz w:val="22"/>
                <w:szCs w:val="22"/>
                <w:lang w:val="en-US"/>
              </w:rPr>
              <w:t xml:space="preserve">DiSalvo, C. (2009). Design and the construction of publics. Design Issues, 25 (1), 48-63. </w:t>
            </w:r>
            <w:r w:rsidRPr="008E2DCD">
              <w:rPr>
                <w:rFonts w:ascii="Arial Narrow" w:eastAsia="Arial" w:hAnsi="Arial Narrow" w:cs="Arial"/>
                <w:color w:val="0000FF"/>
                <w:sz w:val="22"/>
                <w:szCs w:val="22"/>
                <w:lang w:val="en-US"/>
              </w:rPr>
              <w:t>https://doi.org/10.1162/desi.2009.25.1.48</w:t>
            </w:r>
          </w:p>
          <w:p w:rsidR="008E2DCD" w:rsidRPr="008E2DCD" w:rsidRDefault="008E2DCD" w:rsidP="008E2DCD">
            <w:pPr>
              <w:pStyle w:val="Normal1"/>
              <w:spacing w:after="120"/>
              <w:ind w:left="33"/>
              <w:jc w:val="both"/>
              <w:rPr>
                <w:rFonts w:ascii="Arial Narrow" w:eastAsia="Arial" w:hAnsi="Arial Narrow" w:cs="Arial"/>
                <w:sz w:val="22"/>
                <w:szCs w:val="22"/>
                <w:lang w:val="en-US"/>
              </w:rPr>
            </w:pPr>
            <w:r w:rsidRPr="008E2DCD">
              <w:rPr>
                <w:rFonts w:ascii="Arial Narrow" w:eastAsia="Arial" w:hAnsi="Arial Narrow" w:cs="Arial"/>
                <w:sz w:val="22"/>
                <w:szCs w:val="22"/>
                <w:lang w:val="en-US"/>
              </w:rPr>
              <w:t>DiSalvo, C. (2012). Adversarial design. Cambridge: The MIT Press.</w:t>
            </w:r>
          </w:p>
          <w:p w:rsidR="008E2DCD" w:rsidRPr="008E2DCD" w:rsidRDefault="008E2DCD" w:rsidP="008E2DCD">
            <w:pPr>
              <w:pStyle w:val="Normal1"/>
              <w:spacing w:after="120"/>
              <w:ind w:left="33"/>
              <w:jc w:val="both"/>
              <w:rPr>
                <w:rFonts w:ascii="Arial Narrow" w:eastAsia="Arial" w:hAnsi="Arial Narrow" w:cs="Arial"/>
                <w:sz w:val="22"/>
                <w:szCs w:val="22"/>
                <w:lang w:val="en-US"/>
              </w:rPr>
            </w:pPr>
            <w:r w:rsidRPr="008E2DCD">
              <w:rPr>
                <w:rFonts w:ascii="Arial Narrow" w:eastAsia="Arial" w:hAnsi="Arial Narrow" w:cs="Arial"/>
                <w:sz w:val="22"/>
                <w:szCs w:val="22"/>
                <w:lang w:val="en-US"/>
              </w:rPr>
              <w:t>Manzini, E. (2015). Design, when everybody designs. An introduction to design for social innovation. Cambridge: The MIT Press.</w:t>
            </w:r>
          </w:p>
          <w:p w:rsidR="008E2DCD" w:rsidRPr="008E2DCD" w:rsidRDefault="008E2DCD" w:rsidP="008E2DCD">
            <w:pPr>
              <w:pStyle w:val="Normal1"/>
              <w:spacing w:after="120"/>
              <w:ind w:left="33"/>
              <w:jc w:val="both"/>
              <w:rPr>
                <w:rFonts w:ascii="Arial Narrow" w:eastAsia="Arial" w:hAnsi="Arial Narrow" w:cs="Arial"/>
                <w:sz w:val="22"/>
                <w:szCs w:val="22"/>
                <w:lang w:val="en-US"/>
              </w:rPr>
            </w:pPr>
            <w:r w:rsidRPr="008E2DCD">
              <w:rPr>
                <w:rFonts w:ascii="Arial Narrow" w:eastAsia="Arial" w:hAnsi="Arial Narrow" w:cs="Arial"/>
                <w:sz w:val="22"/>
                <w:szCs w:val="22"/>
                <w:lang w:val="en-US"/>
              </w:rPr>
              <w:t xml:space="preserve">Opazo, D., Wolff, M., &amp; Araya, M. J. (2017). Imagination and the political in design Participation. Design Issues, 33(4), 73-82. </w:t>
            </w:r>
            <w:r w:rsidRPr="008E2DCD">
              <w:rPr>
                <w:rFonts w:ascii="Arial Narrow" w:eastAsia="Arial" w:hAnsi="Arial Narrow" w:cs="Arial"/>
                <w:color w:val="0000FF"/>
                <w:sz w:val="22"/>
                <w:szCs w:val="22"/>
                <w:lang w:val="en-US"/>
              </w:rPr>
              <w:t>https://doi.org/10.1162/desi_a_00462</w:t>
            </w:r>
          </w:p>
          <w:p w:rsidR="008E2DCD" w:rsidRPr="008E2DCD" w:rsidRDefault="008E2DCD" w:rsidP="008E2DCD">
            <w:pPr>
              <w:pStyle w:val="Normal1"/>
              <w:spacing w:after="120"/>
              <w:ind w:left="33"/>
              <w:jc w:val="both"/>
              <w:rPr>
                <w:rFonts w:ascii="Arial Narrow" w:eastAsia="Arial" w:hAnsi="Arial Narrow" w:cs="Arial"/>
                <w:color w:val="0000FF"/>
                <w:sz w:val="22"/>
                <w:szCs w:val="22"/>
                <w:lang w:val="en-US"/>
              </w:rPr>
            </w:pPr>
            <w:proofErr w:type="spellStart"/>
            <w:r w:rsidRPr="008E2DCD">
              <w:rPr>
                <w:rFonts w:ascii="Arial Narrow" w:eastAsia="Arial" w:hAnsi="Arial Narrow" w:cs="Arial"/>
                <w:sz w:val="22"/>
                <w:szCs w:val="22"/>
                <w:lang w:val="en-US"/>
              </w:rPr>
              <w:t>Rittel</w:t>
            </w:r>
            <w:proofErr w:type="spellEnd"/>
            <w:r w:rsidRPr="008E2DCD">
              <w:rPr>
                <w:rFonts w:ascii="Arial Narrow" w:eastAsia="Arial" w:hAnsi="Arial Narrow" w:cs="Arial"/>
                <w:sz w:val="22"/>
                <w:szCs w:val="22"/>
                <w:lang w:val="en-US"/>
              </w:rPr>
              <w:t xml:space="preserve">, H. W. &amp; Webber, M. M. (1973). Dilemmas in a general theory of planning. Policy Sciences, 4(2), 155-169. </w:t>
            </w:r>
            <w:hyperlink r:id="rId10" w:history="1">
              <w:r w:rsidRPr="008E2DCD">
                <w:rPr>
                  <w:rStyle w:val="Hipervnculo"/>
                  <w:rFonts w:ascii="Arial Narrow" w:eastAsia="Arial" w:hAnsi="Arial Narrow" w:cs="Arial"/>
                  <w:sz w:val="22"/>
                  <w:szCs w:val="22"/>
                  <w:lang w:val="en-US"/>
                </w:rPr>
                <w:t>https://doi.org/10.1007/bf01405730</w:t>
              </w:r>
            </w:hyperlink>
          </w:p>
          <w:p w:rsidR="008E2DCD" w:rsidRPr="008E2DCD" w:rsidRDefault="008E2DCD" w:rsidP="008E2DCD">
            <w:pPr>
              <w:ind w:left="33"/>
              <w:rPr>
                <w:rFonts w:ascii="Arial Narrow" w:eastAsia="Times New Roman" w:hAnsi="Arial Narrow" w:cs="Times New Roman"/>
              </w:rPr>
            </w:pPr>
            <w:r w:rsidRPr="008E2DCD">
              <w:rPr>
                <w:rFonts w:ascii="Arial Narrow" w:eastAsia="Arial" w:hAnsi="Arial Narrow" w:cs="Arial"/>
                <w:color w:val="000000"/>
                <w:lang w:val="en-US" w:eastAsia="es-ES"/>
              </w:rPr>
              <w:t>Simon, H. (1988). The Science of Design: Creating the Artificial.</w:t>
            </w:r>
            <w:r w:rsidRPr="008E2DCD">
              <w:rPr>
                <w:rFonts w:ascii="Arial Narrow" w:eastAsia="Times New Roman" w:hAnsi="Arial Narrow" w:cs="Arial"/>
                <w:shd w:val="clear" w:color="auto" w:fill="FFFFFF"/>
                <w:lang w:val="en-US"/>
              </w:rPr>
              <w:t> </w:t>
            </w:r>
            <w:proofErr w:type="spellStart"/>
            <w:r w:rsidRPr="008E2DCD">
              <w:rPr>
                <w:rFonts w:ascii="Arial Narrow" w:eastAsia="Times New Roman" w:hAnsi="Arial Narrow" w:cs="Arial"/>
              </w:rPr>
              <w:t>Design</w:t>
            </w:r>
            <w:proofErr w:type="spellEnd"/>
            <w:r w:rsidRPr="008E2DCD">
              <w:rPr>
                <w:rFonts w:ascii="Arial Narrow" w:eastAsia="Times New Roman" w:hAnsi="Arial Narrow" w:cs="Arial"/>
              </w:rPr>
              <w:t xml:space="preserve"> </w:t>
            </w:r>
            <w:proofErr w:type="spellStart"/>
            <w:r w:rsidRPr="008E2DCD">
              <w:rPr>
                <w:rFonts w:ascii="Arial Narrow" w:eastAsia="Times New Roman" w:hAnsi="Arial Narrow" w:cs="Arial"/>
              </w:rPr>
              <w:t>Issues</w:t>
            </w:r>
            <w:proofErr w:type="spellEnd"/>
            <w:r w:rsidRPr="008E2DCD">
              <w:rPr>
                <w:rFonts w:ascii="Arial Narrow" w:eastAsia="Times New Roman" w:hAnsi="Arial Narrow" w:cs="Arial"/>
              </w:rPr>
              <w:t>,</w:t>
            </w:r>
            <w:r w:rsidRPr="008E2DCD">
              <w:rPr>
                <w:rFonts w:ascii="Arial Narrow" w:eastAsia="Times New Roman" w:hAnsi="Arial Narrow" w:cs="Arial"/>
                <w:shd w:val="clear" w:color="auto" w:fill="FFFFFF"/>
              </w:rPr>
              <w:t> </w:t>
            </w:r>
            <w:r w:rsidRPr="008E2DCD">
              <w:rPr>
                <w:rFonts w:ascii="Arial Narrow" w:eastAsia="Times New Roman" w:hAnsi="Arial Narrow" w:cs="Arial"/>
              </w:rPr>
              <w:t>4</w:t>
            </w:r>
            <w:r w:rsidRPr="008E2DCD">
              <w:rPr>
                <w:rFonts w:ascii="Arial Narrow" w:eastAsia="Times New Roman" w:hAnsi="Arial Narrow" w:cs="Arial"/>
                <w:shd w:val="clear" w:color="auto" w:fill="FFFFFF"/>
              </w:rPr>
              <w:t xml:space="preserve">(1/2), 67-82. </w:t>
            </w:r>
            <w:hyperlink r:id="rId11" w:history="1">
              <w:r w:rsidRPr="00C37481">
                <w:rPr>
                  <w:rStyle w:val="Hipervnculo"/>
                  <w:rFonts w:ascii="Arial Narrow" w:eastAsia="Times New Roman" w:hAnsi="Arial Narrow" w:cs="Arial"/>
                  <w:shd w:val="clear" w:color="auto" w:fill="FFFFFF"/>
                </w:rPr>
                <w:t>https://doi.org/10.2307/1511391</w:t>
              </w:r>
            </w:hyperlink>
            <w:r>
              <w:rPr>
                <w:rFonts w:ascii="Arial Narrow" w:eastAsia="Times New Roman" w:hAnsi="Arial Narrow" w:cs="Arial"/>
                <w:shd w:val="clear" w:color="auto" w:fill="FFFFFF"/>
              </w:rPr>
              <w:t xml:space="preserve"> </w:t>
            </w:r>
          </w:p>
          <w:p w:rsidR="00FB4B8B" w:rsidRPr="008E2DCD" w:rsidRDefault="00FB4B8B" w:rsidP="008E2DCD">
            <w:pPr>
              <w:pBdr>
                <w:top w:val="nil"/>
                <w:left w:val="nil"/>
                <w:bottom w:val="nil"/>
                <w:right w:val="nil"/>
                <w:between w:val="nil"/>
              </w:pBdr>
              <w:spacing w:line="276" w:lineRule="auto"/>
              <w:ind w:left="33"/>
              <w:jc w:val="both"/>
              <w:rPr>
                <w:rFonts w:ascii="Arial Narrow" w:eastAsia="Arial Narrow" w:hAnsi="Arial Narrow" w:cs="Arial Narrow"/>
              </w:rPr>
            </w:pPr>
          </w:p>
        </w:tc>
      </w:tr>
    </w:tbl>
    <w:p w:rsidR="00B46287" w:rsidRDefault="00B46287">
      <w:pPr>
        <w:rPr>
          <w:rFonts w:ascii="Arial Narrow" w:eastAsia="Arial Narrow" w:hAnsi="Arial Narrow" w:cs="Arial Narrow"/>
        </w:rPr>
      </w:pPr>
    </w:p>
    <w:p w:rsidR="008E2DCD" w:rsidRDefault="008E2DCD">
      <w:r>
        <w:br w:type="page"/>
      </w:r>
    </w:p>
    <w:tbl>
      <w:tblPr>
        <w:tblStyle w:val="a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B46287">
        <w:trPr>
          <w:trHeight w:val="240"/>
        </w:trPr>
        <w:tc>
          <w:tcPr>
            <w:tcW w:w="8494" w:type="dxa"/>
          </w:tcPr>
          <w:p w:rsidR="00B46287" w:rsidRDefault="0084168E">
            <w:pPr>
              <w:pBdr>
                <w:top w:val="nil"/>
                <w:left w:val="nil"/>
                <w:bottom w:val="nil"/>
                <w:right w:val="nil"/>
                <w:between w:val="nil"/>
              </w:pBdr>
              <w:spacing w:line="276"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IMPORTANTE</w:t>
            </w:r>
          </w:p>
        </w:tc>
      </w:tr>
      <w:tr w:rsidR="00B46287">
        <w:trPr>
          <w:trHeight w:val="1420"/>
        </w:trPr>
        <w:tc>
          <w:tcPr>
            <w:tcW w:w="8494" w:type="dxa"/>
          </w:tcPr>
          <w:p w:rsidR="00B46287" w:rsidRDefault="0084168E">
            <w:pPr>
              <w:numPr>
                <w:ilvl w:val="0"/>
                <w:numId w:val="3"/>
              </w:numPr>
              <w:pBdr>
                <w:top w:val="nil"/>
                <w:left w:val="nil"/>
                <w:bottom w:val="nil"/>
                <w:right w:val="nil"/>
                <w:between w:val="nil"/>
              </w:pBdr>
              <w:spacing w:line="276" w:lineRule="auto"/>
              <w:jc w:val="both"/>
              <w:rPr>
                <w:color w:val="000000"/>
                <w:sz w:val="23"/>
                <w:szCs w:val="23"/>
              </w:rPr>
            </w:pPr>
            <w:r>
              <w:rPr>
                <w:rFonts w:ascii="Arial Narrow" w:eastAsia="Arial Narrow" w:hAnsi="Arial Narrow" w:cs="Arial Narrow"/>
                <w:color w:val="000000"/>
                <w:sz w:val="23"/>
                <w:szCs w:val="23"/>
              </w:rPr>
              <w:t xml:space="preserve">Sobre la asistencia a clases: </w:t>
            </w:r>
          </w:p>
          <w:p w:rsidR="00B46287" w:rsidRDefault="00B46287">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p>
          <w:p w:rsidR="00B46287" w:rsidRDefault="0084168E">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 xml:space="preserve">La asistencia mínima a las actividades curriculares queda definida en el Reglamento General de los Estudios de Pregrado de la Facultad de Arquitectura y Urbanismo (Decreto Exento N°004041 del 21 de </w:t>
            </w:r>
            <w:proofErr w:type="gramStart"/>
            <w:r>
              <w:rPr>
                <w:rFonts w:ascii="Arial Narrow" w:eastAsia="Arial Narrow" w:hAnsi="Arial Narrow" w:cs="Arial Narrow"/>
                <w:color w:val="000000"/>
                <w:sz w:val="23"/>
                <w:szCs w:val="23"/>
              </w:rPr>
              <w:t>Enero</w:t>
            </w:r>
            <w:proofErr w:type="gramEnd"/>
            <w:r>
              <w:rPr>
                <w:rFonts w:ascii="Arial Narrow" w:eastAsia="Arial Narrow" w:hAnsi="Arial Narrow" w:cs="Arial Narrow"/>
                <w:color w:val="000000"/>
                <w:sz w:val="23"/>
                <w:szCs w:val="23"/>
              </w:rPr>
              <w:t xml:space="preserve"> de 2016), Artículo 21: </w:t>
            </w:r>
          </w:p>
          <w:p w:rsidR="00B46287" w:rsidRDefault="0084168E">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 xml:space="preserve">“Los requisitos de asistencia a las actividades curriculares serán establecidos por cada profesor, incluidos en el programa del curso e informados a los estudiantes al inicio de cada curso, pero no podrá ser menor al 75% (…) El no cumplimiento de la asistencia mínima en los términos señalados en este artículo constituirá una causal de reprobación de la asignatura. </w:t>
            </w:r>
          </w:p>
          <w:p w:rsidR="00B46287" w:rsidRDefault="0084168E">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 xml:space="preserve">Si el estudiante presenta inasistencias reiteradas, deberá justificarlas con el/la Jefe/a de Carrera respectivo, quien decidirá en función de los antecedentes presentados, si corresponde acogerlas”. </w:t>
            </w:r>
          </w:p>
          <w:p w:rsidR="00B46287" w:rsidRDefault="00B46287">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p>
          <w:p w:rsidR="00B46287" w:rsidRDefault="0084168E">
            <w:pPr>
              <w:numPr>
                <w:ilvl w:val="0"/>
                <w:numId w:val="1"/>
              </w:numPr>
              <w:pBdr>
                <w:top w:val="nil"/>
                <w:left w:val="nil"/>
                <w:bottom w:val="nil"/>
                <w:right w:val="nil"/>
                <w:between w:val="nil"/>
              </w:pBdr>
              <w:spacing w:line="276" w:lineRule="auto"/>
              <w:jc w:val="both"/>
              <w:rPr>
                <w:color w:val="000000"/>
                <w:sz w:val="23"/>
                <w:szCs w:val="23"/>
              </w:rPr>
            </w:pPr>
            <w:r>
              <w:rPr>
                <w:rFonts w:ascii="Arial Narrow" w:eastAsia="Arial Narrow" w:hAnsi="Arial Narrow" w:cs="Arial Narrow"/>
                <w:color w:val="000000"/>
                <w:sz w:val="23"/>
                <w:szCs w:val="23"/>
              </w:rPr>
              <w:t xml:space="preserve">Sobre evaluaciones: </w:t>
            </w:r>
          </w:p>
          <w:p w:rsidR="00B46287" w:rsidRDefault="00B46287">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p>
          <w:p w:rsidR="00B46287" w:rsidRDefault="0084168E">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 xml:space="preserve">Artículo N° 22 del Reglamento General de los Estudios de Pregrado de la Facultad de Arquitectura y Urbanismo (Decreto Exento N°004041 del 21 de </w:t>
            </w:r>
            <w:proofErr w:type="gramStart"/>
            <w:r>
              <w:rPr>
                <w:rFonts w:ascii="Arial Narrow" w:eastAsia="Arial Narrow" w:hAnsi="Arial Narrow" w:cs="Arial Narrow"/>
                <w:color w:val="000000"/>
                <w:sz w:val="23"/>
                <w:szCs w:val="23"/>
              </w:rPr>
              <w:t>Enero</w:t>
            </w:r>
            <w:proofErr w:type="gramEnd"/>
            <w:r>
              <w:rPr>
                <w:rFonts w:ascii="Arial Narrow" w:eastAsia="Arial Narrow" w:hAnsi="Arial Narrow" w:cs="Arial Narrow"/>
                <w:color w:val="000000"/>
                <w:sz w:val="23"/>
                <w:szCs w:val="23"/>
              </w:rPr>
              <w:t xml:space="preserve"> de 2016), se establece: </w:t>
            </w:r>
          </w:p>
          <w:p w:rsidR="00B46287" w:rsidRDefault="0084168E">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 xml:space="preserve">“El rendimiento académico de los estudiantes será calificado en la escala de notas 1,0 a 7,0 expresado hasta con un decimal. La nota mínima de aprobación de cada asignatura o actividad curricular será cuatro (4,0)”. </w:t>
            </w:r>
          </w:p>
          <w:p w:rsidR="00B46287" w:rsidRDefault="00B46287">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p>
          <w:p w:rsidR="00B46287" w:rsidRDefault="0084168E">
            <w:pPr>
              <w:numPr>
                <w:ilvl w:val="0"/>
                <w:numId w:val="2"/>
              </w:numPr>
              <w:pBdr>
                <w:top w:val="nil"/>
                <w:left w:val="nil"/>
                <w:bottom w:val="nil"/>
                <w:right w:val="nil"/>
                <w:between w:val="nil"/>
              </w:pBdr>
              <w:spacing w:line="276" w:lineRule="auto"/>
              <w:jc w:val="both"/>
              <w:rPr>
                <w:color w:val="000000"/>
                <w:sz w:val="23"/>
                <w:szCs w:val="23"/>
              </w:rPr>
            </w:pPr>
            <w:r>
              <w:rPr>
                <w:rFonts w:ascii="Arial Narrow" w:eastAsia="Arial Narrow" w:hAnsi="Arial Narrow" w:cs="Arial Narrow"/>
                <w:color w:val="000000"/>
                <w:sz w:val="23"/>
                <w:szCs w:val="23"/>
              </w:rPr>
              <w:t xml:space="preserve">Sobre inasistencia a evaluaciones: </w:t>
            </w:r>
          </w:p>
          <w:p w:rsidR="00B46287" w:rsidRDefault="00B46287">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p>
          <w:p w:rsidR="00B46287" w:rsidRDefault="0084168E">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 xml:space="preserve">Artículo N° 23 del Reglamento General de los Estudios de Pregrado de la Facultad de Arquitectura y Urbanismo: </w:t>
            </w:r>
          </w:p>
          <w:p w:rsidR="00B46287" w:rsidRDefault="0084168E">
            <w:pPr>
              <w:pBdr>
                <w:top w:val="nil"/>
                <w:left w:val="nil"/>
                <w:bottom w:val="nil"/>
                <w:right w:val="nil"/>
                <w:between w:val="nil"/>
              </w:pBdr>
              <w:spacing w:line="276"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“El estudiante que falte sin la debida justificación a cualquier actividad evaluada, será calificado automáticamente con nota 1,0. Si tiene justificación para su inasistencia, deberá presentar los antecedentes ante el/la Jefe/a de Carrera para</w:t>
            </w:r>
            <w:r w:rsidR="00E6296D">
              <w:rPr>
                <w:rFonts w:ascii="Arial Narrow" w:eastAsia="Arial Narrow" w:hAnsi="Arial Narrow" w:cs="Arial Narrow"/>
                <w:color w:val="000000"/>
                <w:sz w:val="23"/>
                <w:szCs w:val="23"/>
              </w:rPr>
              <w:t xml:space="preserve"> </w:t>
            </w:r>
            <w:r>
              <w:rPr>
                <w:rFonts w:ascii="Arial Narrow" w:eastAsia="Arial Narrow" w:hAnsi="Arial Narrow" w:cs="Arial Narrow"/>
                <w:color w:val="000000"/>
                <w:sz w:val="23"/>
                <w:szCs w:val="23"/>
              </w:rPr>
              <w:t xml:space="preserve">ser evaluados. Si resuelve que la justificación es suficiente, el estudiante tendrá derecho a una evaluación recuperativa cuya fecha determinará el/la Profesor/a. </w:t>
            </w:r>
          </w:p>
          <w:p w:rsidR="00B46287" w:rsidRDefault="0084168E" w:rsidP="00E23EFC">
            <w:pPr>
              <w:pBdr>
                <w:top w:val="nil"/>
                <w:left w:val="nil"/>
                <w:bottom w:val="nil"/>
                <w:right w:val="nil"/>
                <w:between w:val="nil"/>
              </w:pBdr>
              <w:spacing w:line="27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3"/>
                <w:szCs w:val="23"/>
              </w:rPr>
              <w:t xml:space="preserve">Existirá un plazo de hasta 3 días hábiles desde la evaluación para presentar su justificación, la que podrá ser presentada por otra persona distinta al estudiante y en su nombre, si es que éste no está en condiciones de hacerlo”. </w:t>
            </w:r>
          </w:p>
        </w:tc>
      </w:tr>
    </w:tbl>
    <w:p w:rsidR="00B46287" w:rsidRDefault="00B46287">
      <w:pPr>
        <w:rPr>
          <w:rFonts w:ascii="Arial Narrow" w:eastAsia="Arial Narrow" w:hAnsi="Arial Narrow" w:cs="Arial Narrow"/>
        </w:rPr>
      </w:pPr>
    </w:p>
    <w:sectPr w:rsidR="00B46287">
      <w:head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F89" w:rsidRDefault="00221F89">
      <w:pPr>
        <w:spacing w:after="0" w:line="240" w:lineRule="auto"/>
      </w:pPr>
      <w:r>
        <w:separator/>
      </w:r>
    </w:p>
  </w:endnote>
  <w:endnote w:type="continuationSeparator" w:id="0">
    <w:p w:rsidR="00221F89" w:rsidRDefault="0022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nivers">
    <w:panose1 w:val="02000000000000000000"/>
    <w:charset w:val="00"/>
    <w:family w:val="modern"/>
    <w:notTrueType/>
    <w:pitch w:val="variable"/>
    <w:sig w:usb0="800000AF" w:usb1="40000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F89" w:rsidRDefault="00221F89">
      <w:pPr>
        <w:spacing w:after="0" w:line="240" w:lineRule="auto"/>
      </w:pPr>
      <w:r>
        <w:separator/>
      </w:r>
    </w:p>
  </w:footnote>
  <w:footnote w:type="continuationSeparator" w:id="0">
    <w:p w:rsidR="00221F89" w:rsidRDefault="00221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87" w:rsidRDefault="00B46287">
    <w:pPr>
      <w:widowControl w:val="0"/>
      <w:pBdr>
        <w:top w:val="nil"/>
        <w:left w:val="nil"/>
        <w:bottom w:val="nil"/>
        <w:right w:val="nil"/>
        <w:between w:val="nil"/>
      </w:pBdr>
      <w:spacing w:after="0" w:line="276" w:lineRule="auto"/>
      <w:rPr>
        <w:rFonts w:ascii="Arial Narrow" w:eastAsia="Arial Narrow" w:hAnsi="Arial Narrow" w:cs="Arial Narrow"/>
      </w:rPr>
    </w:pPr>
  </w:p>
  <w:tbl>
    <w:tblPr>
      <w:tblStyle w:val="ab"/>
      <w:tblW w:w="84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3"/>
      <w:gridCol w:w="2123"/>
      <w:gridCol w:w="2124"/>
      <w:gridCol w:w="2124"/>
    </w:tblGrid>
    <w:tr w:rsidR="00B46287">
      <w:tc>
        <w:tcPr>
          <w:tcW w:w="2123" w:type="dxa"/>
        </w:tcPr>
        <w:p w:rsidR="00B46287" w:rsidRDefault="00B46287">
          <w:pPr>
            <w:widowControl w:val="0"/>
            <w:tabs>
              <w:tab w:val="center" w:pos="4419"/>
              <w:tab w:val="right" w:pos="8838"/>
            </w:tabs>
            <w:rPr>
              <w:b/>
            </w:rPr>
          </w:pPr>
        </w:p>
      </w:tc>
      <w:tc>
        <w:tcPr>
          <w:tcW w:w="2123" w:type="dxa"/>
          <w:tcBorders>
            <w:right w:val="single" w:sz="4" w:space="0" w:color="000000"/>
          </w:tcBorders>
        </w:tcPr>
        <w:p w:rsidR="00B46287" w:rsidRDefault="0084168E">
          <w:pPr>
            <w:widowControl w:val="0"/>
            <w:tabs>
              <w:tab w:val="center" w:pos="4419"/>
              <w:tab w:val="right" w:pos="8838"/>
            </w:tabs>
            <w:rPr>
              <w:b/>
            </w:rPr>
          </w:pPr>
          <w:r>
            <w:rPr>
              <w:noProof/>
              <w:lang w:val="es-CL" w:eastAsia="es-CL"/>
            </w:rPr>
            <w:drawing>
              <wp:inline distT="0" distB="0" distL="0" distR="0">
                <wp:extent cx="1157755" cy="77977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7755" cy="779777"/>
                        </a:xfrm>
                        <a:prstGeom prst="rect">
                          <a:avLst/>
                        </a:prstGeom>
                        <a:ln/>
                      </pic:spPr>
                    </pic:pic>
                  </a:graphicData>
                </a:graphic>
              </wp:inline>
            </w:drawing>
          </w:r>
        </w:p>
      </w:tc>
      <w:tc>
        <w:tcPr>
          <w:tcW w:w="2124" w:type="dxa"/>
          <w:tcBorders>
            <w:left w:val="single" w:sz="4" w:space="0" w:color="000000"/>
          </w:tcBorders>
          <w:vAlign w:val="bottom"/>
        </w:tcPr>
        <w:p w:rsidR="00B46287" w:rsidRDefault="0084168E">
          <w:pPr>
            <w:widowControl w:val="0"/>
            <w:tabs>
              <w:tab w:val="center" w:pos="4419"/>
              <w:tab w:val="right" w:pos="8838"/>
            </w:tabs>
            <w:rPr>
              <w:rFonts w:ascii="Anivers" w:eastAsia="Anivers" w:hAnsi="Anivers" w:cs="Anivers"/>
            </w:rPr>
          </w:pPr>
          <w:r>
            <w:rPr>
              <w:rFonts w:ascii="Anivers" w:eastAsia="Anivers" w:hAnsi="Anivers" w:cs="Anivers"/>
            </w:rPr>
            <w:t xml:space="preserve">ESCUELA DE PREGRADO </w:t>
          </w:r>
        </w:p>
        <w:p w:rsidR="00B46287" w:rsidRDefault="0084168E">
          <w:pPr>
            <w:widowControl w:val="0"/>
            <w:tabs>
              <w:tab w:val="center" w:pos="4419"/>
              <w:tab w:val="right" w:pos="8838"/>
            </w:tabs>
            <w:rPr>
              <w:rFonts w:ascii="Anivers" w:eastAsia="Anivers" w:hAnsi="Anivers" w:cs="Anivers"/>
            </w:rPr>
          </w:pPr>
          <w:r>
            <w:rPr>
              <w:rFonts w:ascii="Anivers" w:eastAsia="Anivers" w:hAnsi="Anivers" w:cs="Anivers"/>
              <w:sz w:val="18"/>
              <w:szCs w:val="18"/>
            </w:rPr>
            <w:t>CARRERA ARQUITECTURA</w:t>
          </w:r>
        </w:p>
      </w:tc>
      <w:tc>
        <w:tcPr>
          <w:tcW w:w="2124" w:type="dxa"/>
        </w:tcPr>
        <w:p w:rsidR="00B46287" w:rsidRDefault="00B46287">
          <w:pPr>
            <w:widowControl w:val="0"/>
            <w:tabs>
              <w:tab w:val="center" w:pos="4419"/>
              <w:tab w:val="right" w:pos="8838"/>
            </w:tabs>
            <w:rPr>
              <w:b/>
            </w:rPr>
          </w:pPr>
        </w:p>
      </w:tc>
    </w:tr>
  </w:tbl>
  <w:p w:rsidR="00B46287" w:rsidRDefault="00B46287">
    <w:pPr>
      <w:pBdr>
        <w:top w:val="nil"/>
        <w:left w:val="nil"/>
        <w:bottom w:val="nil"/>
        <w:right w:val="nil"/>
        <w:between w:val="nil"/>
      </w:pBdr>
      <w:tabs>
        <w:tab w:val="center" w:pos="4419"/>
        <w:tab w:val="right" w:pos="8838"/>
      </w:tabs>
      <w:spacing w:after="0" w:line="240" w:lineRule="auto"/>
      <w:rPr>
        <w:color w:val="000000"/>
      </w:rPr>
    </w:pPr>
  </w:p>
  <w:p w:rsidR="00B46287" w:rsidRDefault="00B4628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1383"/>
    <w:multiLevelType w:val="multilevel"/>
    <w:tmpl w:val="8D36B732"/>
    <w:lvl w:ilvl="0">
      <w:start w:val="1"/>
      <w:numFmt w:val="decimal"/>
      <w:lvlText w:val="%1."/>
      <w:lvlJc w:val="left"/>
      <w:pPr>
        <w:ind w:left="720" w:hanging="360"/>
      </w:pPr>
      <w:rPr>
        <w:rFonts w:ascii="Arial" w:eastAsia="Arial" w:hAnsi="Arial" w:cs="Arial"/>
      </w:rPr>
    </w:lvl>
    <w:lvl w:ilvl="1">
      <w:start w:val="2"/>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1B3213FA"/>
    <w:multiLevelType w:val="multilevel"/>
    <w:tmpl w:val="01486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150C4C"/>
    <w:multiLevelType w:val="multilevel"/>
    <w:tmpl w:val="D8BE9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BCB09B8"/>
    <w:multiLevelType w:val="multilevel"/>
    <w:tmpl w:val="FABA5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87"/>
    <w:rsid w:val="00030499"/>
    <w:rsid w:val="000A4E65"/>
    <w:rsid w:val="001242E4"/>
    <w:rsid w:val="00155E12"/>
    <w:rsid w:val="00180896"/>
    <w:rsid w:val="00221F89"/>
    <w:rsid w:val="00245DAB"/>
    <w:rsid w:val="002915A2"/>
    <w:rsid w:val="003357F1"/>
    <w:rsid w:val="003A7A93"/>
    <w:rsid w:val="00421F01"/>
    <w:rsid w:val="00446DAC"/>
    <w:rsid w:val="00467D00"/>
    <w:rsid w:val="004D6208"/>
    <w:rsid w:val="0053338E"/>
    <w:rsid w:val="00603A94"/>
    <w:rsid w:val="006B751A"/>
    <w:rsid w:val="00791621"/>
    <w:rsid w:val="00810D96"/>
    <w:rsid w:val="00814D87"/>
    <w:rsid w:val="0084168E"/>
    <w:rsid w:val="008E2DCD"/>
    <w:rsid w:val="009C65D8"/>
    <w:rsid w:val="00A76E1F"/>
    <w:rsid w:val="00AB314F"/>
    <w:rsid w:val="00B46287"/>
    <w:rsid w:val="00B870E3"/>
    <w:rsid w:val="00BF27D7"/>
    <w:rsid w:val="00C15B1A"/>
    <w:rsid w:val="00C448C6"/>
    <w:rsid w:val="00CC1BD5"/>
    <w:rsid w:val="00D56D68"/>
    <w:rsid w:val="00D94EA1"/>
    <w:rsid w:val="00DD6880"/>
    <w:rsid w:val="00E23EFC"/>
    <w:rsid w:val="00E27B76"/>
    <w:rsid w:val="00E55DE9"/>
    <w:rsid w:val="00E6296D"/>
    <w:rsid w:val="00E75102"/>
    <w:rsid w:val="00EC40CD"/>
    <w:rsid w:val="00EC4FE6"/>
    <w:rsid w:val="00F81C8C"/>
    <w:rsid w:val="00FB4B8B"/>
    <w:rsid w:val="00FC731C"/>
    <w:rsid w:val="00FE1C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58360-CFE2-6D42-941F-846F4EE5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paragraph" w:customStyle="1" w:styleId="Normal1">
    <w:name w:val="Normal1"/>
    <w:rsid w:val="00810D96"/>
    <w:pPr>
      <w:spacing w:after="0" w:line="240" w:lineRule="auto"/>
    </w:pPr>
    <w:rPr>
      <w:rFonts w:ascii="Cambria" w:eastAsia="Cambria" w:hAnsi="Cambria" w:cs="Cambria"/>
      <w:color w:val="000000"/>
      <w:sz w:val="24"/>
      <w:szCs w:val="24"/>
      <w:lang w:val="es-CL" w:eastAsia="es-ES"/>
    </w:rPr>
  </w:style>
  <w:style w:type="character" w:styleId="Hipervnculo">
    <w:name w:val="Hyperlink"/>
    <w:basedOn w:val="Fuentedeprrafopredeter"/>
    <w:uiPriority w:val="99"/>
    <w:unhideWhenUsed/>
    <w:rsid w:val="008E2DCD"/>
    <w:rPr>
      <w:color w:val="0000FF" w:themeColor="hyperlink"/>
      <w:u w:val="single"/>
    </w:rPr>
  </w:style>
  <w:style w:type="character" w:customStyle="1" w:styleId="UnresolvedMention">
    <w:name w:val="Unresolved Mention"/>
    <w:basedOn w:val="Fuentedeprrafopredeter"/>
    <w:uiPriority w:val="99"/>
    <w:semiHidden/>
    <w:unhideWhenUsed/>
    <w:rsid w:val="008E2DCD"/>
    <w:rPr>
      <w:color w:val="605E5C"/>
      <w:shd w:val="clear" w:color="auto" w:fill="E1DFDD"/>
    </w:rPr>
  </w:style>
  <w:style w:type="character" w:customStyle="1" w:styleId="apple-converted-space">
    <w:name w:val="apple-converted-space"/>
    <w:basedOn w:val="Fuentedeprrafopredeter"/>
    <w:rsid w:val="008E2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86727">
      <w:bodyDiv w:val="1"/>
      <w:marLeft w:val="0"/>
      <w:marRight w:val="0"/>
      <w:marTop w:val="0"/>
      <w:marBottom w:val="0"/>
      <w:divBdr>
        <w:top w:val="none" w:sz="0" w:space="0" w:color="auto"/>
        <w:left w:val="none" w:sz="0" w:space="0" w:color="auto"/>
        <w:bottom w:val="none" w:sz="0" w:space="0" w:color="auto"/>
        <w:right w:val="none" w:sz="0" w:space="0" w:color="auto"/>
      </w:divBdr>
    </w:div>
    <w:div w:id="972322904">
      <w:bodyDiv w:val="1"/>
      <w:marLeft w:val="0"/>
      <w:marRight w:val="0"/>
      <w:marTop w:val="0"/>
      <w:marBottom w:val="0"/>
      <w:divBdr>
        <w:top w:val="none" w:sz="0" w:space="0" w:color="auto"/>
        <w:left w:val="none" w:sz="0" w:space="0" w:color="auto"/>
        <w:bottom w:val="none" w:sz="0" w:space="0" w:color="auto"/>
        <w:right w:val="none" w:sz="0" w:space="0" w:color="auto"/>
      </w:divBdr>
    </w:div>
    <w:div w:id="1010183963">
      <w:bodyDiv w:val="1"/>
      <w:marLeft w:val="0"/>
      <w:marRight w:val="0"/>
      <w:marTop w:val="0"/>
      <w:marBottom w:val="0"/>
      <w:divBdr>
        <w:top w:val="none" w:sz="0" w:space="0" w:color="auto"/>
        <w:left w:val="none" w:sz="0" w:space="0" w:color="auto"/>
        <w:bottom w:val="none" w:sz="0" w:space="0" w:color="auto"/>
        <w:right w:val="none" w:sz="0" w:space="0" w:color="auto"/>
      </w:divBdr>
    </w:div>
    <w:div w:id="168343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exicanosdisenando.org.mx/WebMaster/Articulos/WICK_fin_AL%5b2%5d.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xicanosdisenando.org.mx/.../Retorica%20humanismo%20y%20diseno.do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307/1511391" TargetMode="External"/><Relationship Id="rId5" Type="http://schemas.openxmlformats.org/officeDocument/2006/relationships/footnotes" Target="footnotes.xml"/><Relationship Id="rId10" Type="http://schemas.openxmlformats.org/officeDocument/2006/relationships/hyperlink" Target="https://doi.org/10.1007/bf01405730" TargetMode="External"/><Relationship Id="rId4" Type="http://schemas.openxmlformats.org/officeDocument/2006/relationships/webSettings" Target="webSettings.xml"/><Relationship Id="rId9" Type="http://schemas.openxmlformats.org/officeDocument/2006/relationships/hyperlink" Target="http://dx.doi.org/10.32995/rev180.Num-42.(2018).art-39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2030</Words>
  <Characters>11165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Coordinadores de la Escuela de Pregrado</dc:creator>
  <cp:lastModifiedBy>Coordinadores de la Escuela de Pregrado</cp:lastModifiedBy>
  <cp:revision>2</cp:revision>
  <dcterms:created xsi:type="dcterms:W3CDTF">2020-01-20T20:39:00Z</dcterms:created>
  <dcterms:modified xsi:type="dcterms:W3CDTF">2020-01-20T20:39:00Z</dcterms:modified>
</cp:coreProperties>
</file>