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126"/>
        <w:gridCol w:w="425"/>
        <w:gridCol w:w="709"/>
        <w:gridCol w:w="1858"/>
      </w:tblGrid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B39" w:rsidRPr="00E73B39" w:rsidRDefault="00E73B39" w:rsidP="00E73B39">
            <w:pPr>
              <w:spacing w:before="120" w:after="12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s-CL"/>
              </w:rPr>
            </w:pPr>
            <w:r w:rsidRPr="00E73B39">
              <w:rPr>
                <w:rFonts w:ascii="Calibri" w:eastAsia="Calibri" w:hAnsi="Calibri" w:cs="Times New Roman"/>
                <w:b/>
                <w:sz w:val="28"/>
                <w:szCs w:val="28"/>
                <w:lang w:val="es-CL"/>
              </w:rPr>
              <w:t>PROGRAMA DE CURSO</w:t>
            </w:r>
          </w:p>
        </w:tc>
      </w:tr>
      <w:tr w:rsidR="00E73B39" w:rsidRPr="00E73B39" w:rsidTr="00FB5B4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Nombre de la actividad curricular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Times New Roman"/>
                <w:i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s-CL"/>
              </w:rPr>
              <w:t xml:space="preserve">Diseño para el ciclismo  </w:t>
            </w: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spacing w:before="120" w:after="120" w:line="276" w:lineRule="auto"/>
              <w:ind w:left="720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Nombre de la actividad curricular en inglés</w:t>
            </w:r>
          </w:p>
          <w:p w:rsidR="00E73B39" w:rsidRPr="00E73B39" w:rsidRDefault="00E73B39" w:rsidP="00E73B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09"/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</w:pPr>
            <w:proofErr w:type="spellStart"/>
            <w:r w:rsidRPr="00E73B39"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>Design</w:t>
            </w:r>
            <w:proofErr w:type="spellEnd"/>
            <w:r w:rsidRPr="00E73B39"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 xml:space="preserve"> </w:t>
            </w:r>
            <w:proofErr w:type="spellStart"/>
            <w:r w:rsidRPr="00E73B39"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>for</w:t>
            </w:r>
            <w:proofErr w:type="spellEnd"/>
            <w:r w:rsidRPr="00E73B39"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 xml:space="preserve"> </w:t>
            </w:r>
            <w:proofErr w:type="spellStart"/>
            <w:r w:rsidRPr="00E73B39"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>cycling</w:t>
            </w:r>
            <w:proofErr w:type="spellEnd"/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Palabras Clave</w:t>
            </w:r>
          </w:p>
          <w:p w:rsidR="00E73B39" w:rsidRPr="00E73B39" w:rsidRDefault="00E73B39" w:rsidP="00E73B39">
            <w:pPr>
              <w:spacing w:after="200" w:line="276" w:lineRule="auto"/>
              <w:ind w:left="720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>Ciclismo; Bicicleta; Cicloturismo</w:t>
            </w:r>
            <w:r w:rsidR="004A64A2"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 xml:space="preserve">; Biomecánica. </w:t>
            </w:r>
            <w:r w:rsidRPr="00E73B39"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 xml:space="preserve">Unidad Académica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Times New Roman"/>
                <w:i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i/>
                <w:color w:val="535353"/>
                <w:sz w:val="24"/>
                <w:szCs w:val="24"/>
              </w:rPr>
              <w:t xml:space="preserve">Escuela de Pregrado </w:t>
            </w: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 xml:space="preserve">Ámbito </w:t>
            </w:r>
          </w:p>
          <w:p w:rsidR="00E73B39" w:rsidRPr="00E73B39" w:rsidRDefault="00E73B39" w:rsidP="00E73B39">
            <w:pPr>
              <w:spacing w:after="120"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Calibri"/>
                <w:i/>
                <w:sz w:val="24"/>
                <w:szCs w:val="24"/>
                <w:lang w:val="es-CL"/>
              </w:rPr>
              <w:t xml:space="preserve">                EVALUAR</w:t>
            </w:r>
          </w:p>
          <w:p w:rsidR="00E73B39" w:rsidRPr="00E73B39" w:rsidRDefault="00E73B39" w:rsidP="00E73B39">
            <w:pPr>
              <w:spacing w:after="120"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  <w:t xml:space="preserve">                CREAR</w:t>
            </w:r>
          </w:p>
          <w:p w:rsidR="00E73B39" w:rsidRPr="00E73B39" w:rsidRDefault="00E73B39" w:rsidP="00E73B39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  <w:t xml:space="preserve">                 SISTEMATIZAR</w:t>
            </w:r>
          </w:p>
        </w:tc>
      </w:tr>
      <w:tr w:rsidR="00E73B39" w:rsidRPr="00E73B39" w:rsidTr="00FB5B45">
        <w:trPr>
          <w:trHeight w:val="70"/>
          <w:jc w:val="center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Número de Créditos SCT - Chile</w:t>
            </w:r>
          </w:p>
          <w:p w:rsidR="00E73B39" w:rsidRPr="00E73B39" w:rsidRDefault="00E73B39" w:rsidP="00E73B39">
            <w:pPr>
              <w:spacing w:after="200" w:line="276" w:lineRule="auto"/>
              <w:ind w:left="720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Cs/>
                <w:i/>
                <w:color w:val="80808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73B39" w:rsidRPr="00E73B39" w:rsidRDefault="00E73B39" w:rsidP="00E73B39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Horas indirectas</w:t>
            </w:r>
          </w:p>
          <w:p w:rsidR="00E73B39" w:rsidRPr="00E73B39" w:rsidRDefault="00E73B39" w:rsidP="00E73B39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(no presencial)</w:t>
            </w:r>
          </w:p>
        </w:tc>
      </w:tr>
      <w:tr w:rsidR="00E73B39" w:rsidRPr="00E73B39" w:rsidTr="00FB5B45">
        <w:trPr>
          <w:trHeight w:val="1207"/>
          <w:jc w:val="center"/>
        </w:trPr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i/>
                <w:color w:val="808080"/>
                <w:sz w:val="24"/>
                <w:szCs w:val="24"/>
              </w:rPr>
              <w:t>7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i/>
                <w:color w:val="808080"/>
                <w:sz w:val="24"/>
                <w:szCs w:val="24"/>
              </w:rPr>
              <w:t>2</w:t>
            </w:r>
          </w:p>
        </w:tc>
      </w:tr>
      <w:tr w:rsidR="00E73B39" w:rsidRPr="00E73B39" w:rsidTr="00FB5B45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Cs/>
                <w:i/>
                <w:color w:val="808080"/>
                <w:sz w:val="24"/>
                <w:szCs w:val="24"/>
              </w:rPr>
              <w:t>(Indique los requisitos de la asignatura de acuerdo a lo establecido en el plan de estudios y/o reglamento de carrera).</w:t>
            </w:r>
          </w:p>
        </w:tc>
      </w:tr>
      <w:tr w:rsidR="00E73B39" w:rsidRPr="00E73B39" w:rsidTr="00FB5B45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Propósito formativo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4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 xml:space="preserve">Introducción al </w:t>
            </w:r>
            <w:r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>conocimiento del diseño para el ciclismo</w:t>
            </w:r>
            <w:r w:rsidR="00F81974"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>.</w:t>
            </w:r>
            <w:r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 xml:space="preserve"> </w:t>
            </w:r>
            <w:r w:rsidRPr="00E73B39"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>Conocimiento teórico y práctico de</w:t>
            </w:r>
            <w:r w:rsidR="00F81974"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 xml:space="preserve"> la</w:t>
            </w:r>
            <w:r w:rsidR="00F81974" w:rsidRPr="00E73B39"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 xml:space="preserve"> </w:t>
            </w:r>
            <w:r w:rsidR="00F81974"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>historia</w:t>
            </w:r>
            <w:r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>, técnica</w:t>
            </w:r>
            <w:r w:rsidR="00F81974">
              <w:rPr>
                <w:rFonts w:ascii="Calibri" w:eastAsia="Calibri" w:hAnsi="Calibri" w:cs="Arial"/>
                <w:bCs/>
                <w:i/>
                <w:sz w:val="24"/>
                <w:szCs w:val="24"/>
                <w:lang w:val="es-CL"/>
              </w:rPr>
              <w:t>, tipología y componentes básicos.</w:t>
            </w:r>
          </w:p>
        </w:tc>
      </w:tr>
      <w:tr w:rsidR="00E73B39" w:rsidRPr="00E73B39" w:rsidTr="00FB5B45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0" w:line="240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 xml:space="preserve">Competencias y </w:t>
            </w:r>
            <w:proofErr w:type="spellStart"/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subcompetencias</w:t>
            </w:r>
            <w:proofErr w:type="spellEnd"/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 xml:space="preserve"> a las que contribuye el curso 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Arial"/>
                <w:bCs/>
                <w:i/>
                <w:color w:val="808080"/>
                <w:sz w:val="24"/>
                <w:szCs w:val="24"/>
              </w:rPr>
            </w:pPr>
            <w:r w:rsidRPr="00E73B39">
              <w:rPr>
                <w:rFonts w:ascii="Calibri" w:eastAsia="Calibri" w:hAnsi="Calibri" w:cs="Arial"/>
                <w:bCs/>
                <w:i/>
                <w:color w:val="808080"/>
                <w:sz w:val="24"/>
                <w:szCs w:val="24"/>
              </w:rPr>
              <w:t>Competencias: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>I.1 Identifica, analiza y determina problemas, demandas y necesidades.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lastRenderedPageBreak/>
              <w:t>II.1 Conceptualiza morfologías, estados de significación y valor mediante un proceso de investigación desde las perspectivas tecnológicas, económicas, sociales y culturales.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>II.2 Proyecta mediaciones para intervenir procesos relacionales entre las ciudadanías y el entorno artificial.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 xml:space="preserve">IV.1 Investiga sobre las relaciones entre actores y contextos. 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 xml:space="preserve">IV.3 </w:t>
            </w:r>
            <w:r w:rsidRPr="00E73B39"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  <w:t>Documenta y comunica la práctica profesional o disciplinar para proponer nuevas formas de intervención.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</w:pPr>
            <w:proofErr w:type="spellStart"/>
            <w:r w:rsidRPr="00E73B39"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  <w:t>Subcompetencias</w:t>
            </w:r>
            <w:proofErr w:type="spellEnd"/>
            <w:r w:rsidRPr="00E73B39"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  <w:t>: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>I.1.b Detecta necesidades de actuación disciplinar en contextos comunitarios.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>I.1.c Establece criterios, procedimientos e indicadores respecto a tipologías, niveles y grados de mediación.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>II.1.b Concibe sistemas visuales y objetuales entre las ciudadanías, las comunidades, las personas y su entorno, desde el dominio técnico, metodológico y cultural, propio de la disciplina.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>II.1.c Otorga valor de uso, cambio y signo al desarrollo de proyectos de mediación.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bCs/>
                <w:sz w:val="24"/>
                <w:szCs w:val="24"/>
                <w:lang w:val="es-ES_tradnl"/>
              </w:rPr>
              <w:t>II.2.a Desarrolla lenguajes morfológicos en relación con principios epistémicos, culturales e históricos de la forma.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  <w:t>IV.1.a Observa fenómenos del entorno en diferentes escalas.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  <w:t>IV.1.b Analiza fenómenos de mediación entre las ciudadanías, las comunidades, la persona y sus contextos.</w:t>
            </w:r>
          </w:p>
          <w:p w:rsidR="00E73B39" w:rsidRPr="00E73B39" w:rsidRDefault="00E73B39" w:rsidP="00E73B39">
            <w:pPr>
              <w:spacing w:before="120" w:after="120" w:line="276" w:lineRule="auto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  <w:t xml:space="preserve">IV.3.d Comunica conceptos, ideas y propuestas mediante recursos y lenguajes </w:t>
            </w:r>
            <w:proofErr w:type="spellStart"/>
            <w:r w:rsidRPr="00E73B39"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  <w:t>bi</w:t>
            </w:r>
            <w:proofErr w:type="spellEnd"/>
            <w:r w:rsidRPr="00E73B39"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  <w:t xml:space="preserve"> y tri dimensionales.</w:t>
            </w: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lastRenderedPageBreak/>
              <w:t>Resultados de Aprendizaje</w:t>
            </w:r>
          </w:p>
          <w:p w:rsidR="00F81974" w:rsidRDefault="00F81974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lastRenderedPageBreak/>
              <w:t>Reconocer históricamente la evolución del ciclismo y su relación objetual a través de la bicicleta.</w:t>
            </w:r>
          </w:p>
          <w:p w:rsid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>Identifica</w:t>
            </w:r>
            <w:r w:rsidR="00413672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>r</w:t>
            </w:r>
            <w:r w:rsidR="00F81974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 las diferentes </w:t>
            </w:r>
            <w:r w:rsidR="00F81974" w:rsidRPr="00E73B39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>tipologías</w:t>
            </w:r>
            <w:r w:rsidRPr="00E73B39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 de</w:t>
            </w:r>
            <w:r w:rsidR="00F81974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 bicicletas permitiendo reconocer el uso adecuado.</w:t>
            </w:r>
            <w:r w:rsidRPr="00E73B39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 </w:t>
            </w:r>
          </w:p>
          <w:p w:rsidR="00413672" w:rsidRDefault="00413672" w:rsidP="00413672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Comprender aspectos geométricos, posturales y biomecánicos de cada tipología de </w:t>
            </w:r>
            <w:r w:rsidR="00316F4F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>bicicletas</w:t>
            </w:r>
            <w:r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>.</w:t>
            </w:r>
          </w:p>
          <w:p w:rsidR="00E73B39" w:rsidRPr="00E73B39" w:rsidRDefault="00E73B39" w:rsidP="00413672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Aplica materiales y técnicas constructivas básicas para la materialización </w:t>
            </w:r>
            <w:r w:rsidR="00413672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>de una propuesta básica en una estructura portante.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color w:val="808080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lastRenderedPageBreak/>
              <w:t>Saberes fundamentales / Contenidos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1 </w:t>
            </w:r>
            <w:proofErr w:type="gramStart"/>
            <w:r w:rsidRPr="00E73B39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>Introducción</w:t>
            </w:r>
            <w:proofErr w:type="gramEnd"/>
            <w:r w:rsidRPr="00E73B39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.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1.1 </w:t>
            </w:r>
            <w:r w:rsidR="00413672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Historia de la bicicleta y su evolución técnica</w:t>
            </w:r>
            <w:r w:rsidR="00C45567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.</w:t>
            </w:r>
            <w:r w:rsidR="00413672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1.2 </w:t>
            </w:r>
            <w:r w:rsidR="00413672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Principales disciplinas y sus </w:t>
            </w:r>
            <w:r w:rsidR="00C06775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bicicletas</w:t>
            </w: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.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1.3 </w:t>
            </w:r>
            <w:r w:rsidR="00413672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Tipología y ciclismo.</w:t>
            </w: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2 </w:t>
            </w:r>
            <w:proofErr w:type="gramStart"/>
            <w:r w:rsidR="00EF58D7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>Geometría</w:t>
            </w:r>
            <w:proofErr w:type="gramEnd"/>
            <w:r w:rsidR="00EF58D7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 y </w:t>
            </w:r>
            <w:r w:rsidR="008824D7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>E</w:t>
            </w:r>
            <w:r w:rsidR="00EF58D7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structura </w:t>
            </w:r>
            <w:r w:rsidR="008824D7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>P</w:t>
            </w:r>
            <w:r w:rsidR="00EF58D7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ortante. </w:t>
            </w:r>
            <w:r w:rsidRPr="00E73B39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2.1 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Geometría básica y </w:t>
            </w:r>
            <w:r w:rsidR="006626BC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sus variaciones</w:t>
            </w: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.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2.2 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Postura y biomecánica del ciclista.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2.3 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Componentes y sistemas</w:t>
            </w: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.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3 </w:t>
            </w:r>
            <w:proofErr w:type="gramStart"/>
            <w:r w:rsidR="004A38CB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>Aplicación</w:t>
            </w:r>
            <w:proofErr w:type="gramEnd"/>
            <w:r w:rsidR="004A38CB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 y </w:t>
            </w:r>
            <w:r w:rsidR="008824D7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>C</w:t>
            </w:r>
            <w:r w:rsidR="004A38CB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>onstrucción.</w:t>
            </w:r>
            <w:r w:rsidRPr="00E73B39"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lang w:val="es-ES_tradnl"/>
              </w:rPr>
              <w:t xml:space="preserve">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3.1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 Materialidad</w:t>
            </w:r>
            <w:r w:rsidR="00392803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 no convencionales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 y uniones</w:t>
            </w:r>
            <w:r w:rsidR="006626BC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.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 </w:t>
            </w: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3.2 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Posición y certeza espacial.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3.3 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Armado y control de su geometría.</w:t>
            </w: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3.4 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Componentes y accesorios complementarios.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 xml:space="preserve">3.5 </w:t>
            </w:r>
            <w:r w:rsidR="006626BC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T</w:t>
            </w:r>
            <w:r w:rsidR="004A38CB"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  <w:t>erminaciones y acabados.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lang w:val="es-ES_tradnl"/>
              </w:rPr>
            </w:pP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Metodología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color w:val="808080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lang w:val="es-CL"/>
              </w:rPr>
              <w:t>Aprendizaje basado en problemas, lectura, estudio de casos, casos aplicados.</w:t>
            </w: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lastRenderedPageBreak/>
              <w:t>Evaluación</w:t>
            </w:r>
          </w:p>
          <w:p w:rsidR="00E73B39" w:rsidRPr="00E73B39" w:rsidRDefault="00D60A72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>Establecer criterios estéticos y estilísticos para la selección de componentes y partes</w:t>
            </w:r>
            <w:r w:rsidR="00E73B39" w:rsidRPr="00E73B39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>.</w:t>
            </w:r>
          </w:p>
          <w:p w:rsidR="00D60A72" w:rsidRDefault="00E73B39" w:rsidP="00D60A72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Materializa </w:t>
            </w:r>
            <w:r w:rsidR="00D60A72"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aspectos formales y geométricos en el diseño de estructura portante. </w:t>
            </w:r>
          </w:p>
          <w:p w:rsidR="00E73B39" w:rsidRPr="00E73B39" w:rsidRDefault="00D60A72" w:rsidP="00D60A72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Calibri" w:eastAsia="Calibri" w:hAnsi="Calibri"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Comprobar empíricamente propuesta estudiada. </w:t>
            </w: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Requisitos de aprobación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</w:rPr>
              <w:t>Deberá contemplarse una escala de evaluación desde el 1.0 al 7.0, con un decimal.</w:t>
            </w: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B39" w:rsidRPr="00E73B39" w:rsidRDefault="00E73B39" w:rsidP="00E73B39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 xml:space="preserve">Bibliografía obligatoria (no más de 5 textos) </w:t>
            </w:r>
          </w:p>
          <w:p w:rsidR="00873028" w:rsidRDefault="00873028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935D32">
              <w:rPr>
                <w:rFonts w:ascii="Calibri" w:eastAsia="Calibri" w:hAnsi="Calibri" w:cs="Arial"/>
                <w:b/>
                <w:i/>
                <w:sz w:val="24"/>
                <w:szCs w:val="24"/>
              </w:rPr>
              <w:t>Deporte con ciencia, Ciclismo, El ciclismo y su máquina</w:t>
            </w:r>
            <w:r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. Max </w:t>
            </w:r>
            <w:proofErr w:type="spellStart"/>
            <w:r>
              <w:rPr>
                <w:rFonts w:ascii="Calibri" w:eastAsia="Calibri" w:hAnsi="Calibri" w:cs="Arial"/>
                <w:i/>
                <w:sz w:val="24"/>
                <w:szCs w:val="24"/>
              </w:rPr>
              <w:t>Glaskin</w:t>
            </w:r>
            <w:proofErr w:type="spellEnd"/>
            <w:r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2018.</w:t>
            </w:r>
          </w:p>
          <w:p w:rsidR="00D60A72" w:rsidRDefault="00D60A72" w:rsidP="005D2A47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935D32">
              <w:rPr>
                <w:rFonts w:ascii="Calibri" w:eastAsia="Calibri" w:hAnsi="Calibri" w:cs="Arial"/>
                <w:b/>
                <w:i/>
                <w:sz w:val="24"/>
                <w:szCs w:val="24"/>
              </w:rPr>
              <w:t>Análisis biomecánico para ciclistas.</w:t>
            </w:r>
            <w:r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</w:t>
            </w:r>
            <w:r w:rsidRPr="00D60A72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Carlos </w:t>
            </w:r>
            <w:proofErr w:type="spellStart"/>
            <w:r w:rsidRPr="00D60A72">
              <w:rPr>
                <w:rFonts w:ascii="Calibri" w:eastAsia="Calibri" w:hAnsi="Calibri" w:cs="Arial"/>
                <w:i/>
                <w:sz w:val="24"/>
                <w:szCs w:val="24"/>
              </w:rPr>
              <w:t>Jaynor</w:t>
            </w:r>
            <w:proofErr w:type="spellEnd"/>
            <w:r w:rsidRPr="00D60A72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</w:t>
            </w:r>
            <w:r w:rsidR="005D2A47" w:rsidRPr="00D60A72">
              <w:rPr>
                <w:rFonts w:ascii="Calibri" w:eastAsia="Calibri" w:hAnsi="Calibri" w:cs="Arial"/>
                <w:i/>
                <w:sz w:val="24"/>
                <w:szCs w:val="24"/>
              </w:rPr>
              <w:t>Márquez</w:t>
            </w:r>
            <w:r w:rsidR="005D2A47">
              <w:rPr>
                <w:rFonts w:ascii="Calibri" w:eastAsia="Calibri" w:hAnsi="Calibri" w:cs="Arial"/>
                <w:i/>
                <w:sz w:val="24"/>
                <w:szCs w:val="24"/>
              </w:rPr>
              <w:t>,</w:t>
            </w:r>
            <w:r w:rsidRPr="00D60A72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Torres</w:t>
            </w:r>
            <w:r w:rsidR="005D2A47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</w:t>
            </w:r>
            <w:r w:rsidRPr="00D60A72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Laura </w:t>
            </w:r>
            <w:r w:rsidR="005D2A47" w:rsidRPr="00D60A72">
              <w:rPr>
                <w:rFonts w:ascii="Calibri" w:eastAsia="Calibri" w:hAnsi="Calibri" w:cs="Arial"/>
                <w:i/>
                <w:sz w:val="24"/>
                <w:szCs w:val="24"/>
              </w:rPr>
              <w:t>Pérez</w:t>
            </w:r>
            <w:r w:rsidRPr="00D60A72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0A72">
              <w:rPr>
                <w:rFonts w:ascii="Calibri" w:eastAsia="Calibri" w:hAnsi="Calibri" w:cs="Arial"/>
                <w:i/>
                <w:sz w:val="24"/>
                <w:szCs w:val="24"/>
              </w:rPr>
              <w:t>Jambrina</w:t>
            </w:r>
            <w:proofErr w:type="spellEnd"/>
            <w:r w:rsidR="005D2A47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,</w:t>
            </w:r>
            <w:proofErr w:type="gramEnd"/>
            <w:r w:rsidR="006626BC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</w:t>
            </w:r>
            <w:r w:rsidRPr="00D60A72">
              <w:rPr>
                <w:rFonts w:ascii="Calibri" w:eastAsia="Calibri" w:hAnsi="Calibri" w:cs="Arial"/>
                <w:i/>
                <w:sz w:val="24"/>
                <w:szCs w:val="24"/>
              </w:rPr>
              <w:t>Daniel Tocino Estrada</w:t>
            </w:r>
            <w:r w:rsidR="005D2A47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2017.</w:t>
            </w:r>
          </w:p>
          <w:p w:rsidR="00935D32" w:rsidRDefault="00935D32" w:rsidP="005D2A47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935D32">
              <w:rPr>
                <w:rFonts w:ascii="Calibri" w:eastAsia="Calibri" w:hAnsi="Calibri" w:cs="Arial"/>
                <w:b/>
                <w:i/>
                <w:sz w:val="24"/>
                <w:szCs w:val="24"/>
              </w:rPr>
              <w:t>La Bicicleta Mitos, Técnica y Pasión.</w:t>
            </w:r>
            <w:r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Francesco Baroni, 2008</w:t>
            </w:r>
          </w:p>
          <w:p w:rsidR="00873028" w:rsidRDefault="00873028" w:rsidP="00E73B39">
            <w:pPr>
              <w:spacing w:after="200" w:line="276" w:lineRule="auto"/>
              <w:ind w:left="709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B39" w:rsidRDefault="00E73B39" w:rsidP="00E73B39">
            <w:pPr>
              <w:spacing w:before="120" w:after="120" w:line="276" w:lineRule="auto"/>
              <w:ind w:left="709"/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</w:pPr>
            <w:r w:rsidRPr="00E73B39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Bibliografía complementaria</w:t>
            </w:r>
          </w:p>
          <w:p w:rsidR="005D2A47" w:rsidRPr="005D2A47" w:rsidRDefault="005D2A47" w:rsidP="005D2A47">
            <w:pPr>
              <w:spacing w:before="120" w:after="120" w:line="276" w:lineRule="auto"/>
              <w:ind w:left="709"/>
              <w:rPr>
                <w:rFonts w:ascii="Calibri" w:eastAsia="Calibri" w:hAnsi="Calibri" w:cs="Arial"/>
                <w:sz w:val="24"/>
                <w:szCs w:val="24"/>
                <w:lang w:val="es-CL"/>
              </w:rPr>
            </w:pPr>
            <w:r w:rsidRPr="00935D32">
              <w:rPr>
                <w:rFonts w:ascii="Calibri" w:eastAsia="Calibri" w:hAnsi="Calibri" w:cs="Arial"/>
                <w:b/>
                <w:sz w:val="24"/>
                <w:szCs w:val="24"/>
                <w:lang w:val="es-CL"/>
              </w:rPr>
              <w:t>BIOMECANICA Y CICLISMO</w:t>
            </w:r>
            <w:r>
              <w:rPr>
                <w:rFonts w:ascii="Calibri" w:eastAsia="Calibri" w:hAnsi="Calibri" w:cs="Arial"/>
                <w:sz w:val="24"/>
                <w:szCs w:val="24"/>
                <w:lang w:val="es-CL"/>
              </w:rPr>
              <w:t xml:space="preserve">, </w:t>
            </w:r>
            <w:proofErr w:type="spellStart"/>
            <w:r w:rsidRPr="005D2A47">
              <w:rPr>
                <w:rFonts w:ascii="Calibri" w:eastAsia="Calibri" w:hAnsi="Calibri" w:cs="Arial"/>
                <w:sz w:val="24"/>
                <w:szCs w:val="24"/>
                <w:lang w:val="es-CL"/>
              </w:rPr>
              <w:t>Gutierrez</w:t>
            </w:r>
            <w:proofErr w:type="spellEnd"/>
            <w:r w:rsidRPr="005D2A47">
              <w:rPr>
                <w:rFonts w:ascii="Calibri" w:eastAsia="Calibri" w:hAnsi="Calibri" w:cs="Arial"/>
                <w:sz w:val="24"/>
                <w:szCs w:val="24"/>
                <w:lang w:val="es-CL"/>
              </w:rPr>
              <w:t>, M.</w:t>
            </w:r>
            <w:r>
              <w:rPr>
                <w:rFonts w:ascii="Calibri" w:eastAsia="Calibri" w:hAnsi="Calibri" w:cs="Arial"/>
                <w:sz w:val="24"/>
                <w:szCs w:val="24"/>
                <w:lang w:val="es-CL"/>
              </w:rPr>
              <w:t xml:space="preserve"> </w:t>
            </w:r>
            <w:r w:rsidRPr="005D2A47">
              <w:rPr>
                <w:rFonts w:ascii="Calibri" w:eastAsia="Calibri" w:hAnsi="Calibri" w:cs="Arial"/>
                <w:sz w:val="24"/>
                <w:szCs w:val="24"/>
                <w:lang w:val="es-CL"/>
              </w:rPr>
              <w:t>Departamento de Educación Física y Deportiva</w:t>
            </w:r>
            <w:r>
              <w:rPr>
                <w:rFonts w:ascii="Calibri" w:eastAsia="Calibri" w:hAnsi="Calibri" w:cs="Arial"/>
                <w:sz w:val="24"/>
                <w:szCs w:val="24"/>
                <w:lang w:val="es-CL"/>
              </w:rPr>
              <w:t xml:space="preserve"> </w:t>
            </w:r>
            <w:r w:rsidRPr="005D2A47">
              <w:rPr>
                <w:rFonts w:ascii="Calibri" w:eastAsia="Calibri" w:hAnsi="Calibri" w:cs="Arial"/>
                <w:sz w:val="24"/>
                <w:szCs w:val="24"/>
                <w:lang w:val="es-CL"/>
              </w:rPr>
              <w:t>Universidad de Granada</w:t>
            </w:r>
            <w:r>
              <w:rPr>
                <w:rFonts w:ascii="Calibri" w:eastAsia="Calibri" w:hAnsi="Calibri" w:cs="Arial"/>
                <w:sz w:val="24"/>
                <w:szCs w:val="24"/>
                <w:lang w:val="es-CL"/>
              </w:rPr>
              <w:t xml:space="preserve">. </w:t>
            </w:r>
          </w:p>
          <w:p w:rsidR="00E73B39" w:rsidRPr="00E73B39" w:rsidRDefault="00E73B39" w:rsidP="00E73B39">
            <w:pPr>
              <w:spacing w:after="200" w:line="276" w:lineRule="auto"/>
              <w:ind w:left="709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E73B39" w:rsidRPr="00E73B39" w:rsidTr="00FB5B45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39" w:rsidRDefault="00E73B39" w:rsidP="00E73B39">
            <w:pPr>
              <w:spacing w:before="120" w:after="120" w:line="276" w:lineRule="auto"/>
              <w:ind w:left="709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73B3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Recursos web </w:t>
            </w:r>
          </w:p>
          <w:p w:rsidR="005D2A47" w:rsidRPr="000E42C2" w:rsidRDefault="004A64A2" w:rsidP="00E73B39">
            <w:pPr>
              <w:spacing w:before="120" w:after="120" w:line="276" w:lineRule="auto"/>
              <w:ind w:left="709"/>
              <w:rPr>
                <w:rStyle w:val="Hipervnculo"/>
              </w:rPr>
            </w:pPr>
            <w:hyperlink r:id="rId5" w:history="1">
              <w:r w:rsidR="005D2A47" w:rsidRPr="000E42C2">
                <w:rPr>
                  <w:rStyle w:val="Hipervnculo"/>
                </w:rPr>
                <w:t>http://www.globalitefyb.com/</w:t>
              </w:r>
            </w:hyperlink>
          </w:p>
          <w:p w:rsidR="00C6043B" w:rsidRPr="000E42C2" w:rsidRDefault="004A64A2" w:rsidP="00E73B39">
            <w:pPr>
              <w:spacing w:before="120" w:after="120" w:line="276" w:lineRule="auto"/>
              <w:ind w:left="709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hyperlink r:id="rId6" w:history="1">
              <w:r w:rsidR="00C6043B" w:rsidRPr="000E42C2">
                <w:rPr>
                  <w:rStyle w:val="Hipervnculo"/>
                  <w:rFonts w:ascii="Calibri" w:eastAsia="Calibri" w:hAnsi="Calibri" w:cs="Arial"/>
                  <w:bCs/>
                  <w:sz w:val="24"/>
                  <w:szCs w:val="24"/>
                </w:rPr>
                <w:t>http://blog.circuitobtt.com/ergonomia-en-la-bicicleta/</w:t>
              </w:r>
            </w:hyperlink>
            <w:r w:rsidR="00C6043B" w:rsidRPr="000E42C2"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 </w:t>
            </w:r>
          </w:p>
          <w:p w:rsidR="00C6043B" w:rsidRPr="000E42C2" w:rsidRDefault="000E42C2" w:rsidP="00E73B39">
            <w:pPr>
              <w:spacing w:before="120" w:after="120" w:line="276" w:lineRule="auto"/>
              <w:ind w:left="709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 w:rsidRPr="000E42C2"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http://www.drlopezheras.com/2015/05/postura-adecuada-bicicleta. </w:t>
            </w:r>
          </w:p>
          <w:p w:rsidR="000E42C2" w:rsidRPr="00564EF6" w:rsidRDefault="004A64A2" w:rsidP="00E73B39">
            <w:pPr>
              <w:spacing w:before="120" w:after="120" w:line="276" w:lineRule="auto"/>
              <w:ind w:left="709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hyperlink r:id="rId7" w:history="1">
              <w:r w:rsidR="00564EF6" w:rsidRPr="00564EF6">
                <w:rPr>
                  <w:color w:val="0000FF"/>
                  <w:u w:val="single"/>
                </w:rPr>
                <w:t>http://www.terra.org/categorias/articulos/ergonomia-en-la-bicicleta-la-importancia-de-los-componentes</w:t>
              </w:r>
            </w:hyperlink>
          </w:p>
          <w:p w:rsidR="00E73B39" w:rsidRDefault="004A64A2" w:rsidP="00E73B39">
            <w:pPr>
              <w:spacing w:after="200" w:line="276" w:lineRule="auto"/>
              <w:ind w:left="709"/>
            </w:pPr>
            <w:hyperlink r:id="rId8" w:history="1">
              <w:r w:rsidR="0015788D">
                <w:rPr>
                  <w:rStyle w:val="Hipervnculo"/>
                </w:rPr>
                <w:t>http://www.terra.org/categorias/articulos/la-bicicleta-urbana-componentes-y-mantenimiento</w:t>
              </w:r>
            </w:hyperlink>
          </w:p>
          <w:p w:rsidR="00C32C00" w:rsidRPr="00E73B39" w:rsidRDefault="004A64A2" w:rsidP="00E73B39">
            <w:pPr>
              <w:spacing w:after="200" w:line="276" w:lineRule="auto"/>
              <w:ind w:left="709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C32C00">
                <w:rPr>
                  <w:rStyle w:val="Hipervnculo"/>
                </w:rPr>
                <w:t>https://www.sportlife.es/entrenar/ciclismo/articulo/cuida-postura-encima-bici</w:t>
              </w:r>
            </w:hyperlink>
          </w:p>
        </w:tc>
      </w:tr>
    </w:tbl>
    <w:p w:rsidR="008F1146" w:rsidRDefault="008F1146"/>
    <w:sectPr w:rsidR="008F1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3527D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9"/>
    <w:rsid w:val="000E42C2"/>
    <w:rsid w:val="00122F6D"/>
    <w:rsid w:val="0015788D"/>
    <w:rsid w:val="00202A12"/>
    <w:rsid w:val="00316F4F"/>
    <w:rsid w:val="00392803"/>
    <w:rsid w:val="00413672"/>
    <w:rsid w:val="00486226"/>
    <w:rsid w:val="004A38CB"/>
    <w:rsid w:val="004A64A2"/>
    <w:rsid w:val="00564EF6"/>
    <w:rsid w:val="005D2A47"/>
    <w:rsid w:val="005F561D"/>
    <w:rsid w:val="006626BC"/>
    <w:rsid w:val="00797AA6"/>
    <w:rsid w:val="00873028"/>
    <w:rsid w:val="008824D7"/>
    <w:rsid w:val="008B3F09"/>
    <w:rsid w:val="008C7A08"/>
    <w:rsid w:val="008F1146"/>
    <w:rsid w:val="00935D32"/>
    <w:rsid w:val="00A47B5D"/>
    <w:rsid w:val="00AC5CD3"/>
    <w:rsid w:val="00B31A96"/>
    <w:rsid w:val="00C06775"/>
    <w:rsid w:val="00C32C00"/>
    <w:rsid w:val="00C45567"/>
    <w:rsid w:val="00C6043B"/>
    <w:rsid w:val="00CA254B"/>
    <w:rsid w:val="00D60A72"/>
    <w:rsid w:val="00E73B39"/>
    <w:rsid w:val="00EF58D7"/>
    <w:rsid w:val="00F81974"/>
    <w:rsid w:val="00FB3ED3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FD74A"/>
  <w15:chartTrackingRefBased/>
  <w15:docId w15:val="{D791781B-DED1-4CF2-A6E4-ED4D3C5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2A4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0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.org/categorias/articulos/la-bicicleta-urbana-componentes-y-mantenimien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ra.org/categorias/articulos/ergonomia-en-la-bicicleta-la-importancia-de-los-compone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circuitobtt.com/ergonomia-en-la-biciclet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lobalitefyb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ortlife.es/entrenar/ciclismo/articulo/cuida-postura-encima-bic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4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Nicolas Tapia Reyes (mauricio.tapia)</dc:creator>
  <cp:keywords/>
  <dc:description/>
  <cp:lastModifiedBy>Mauricio Nicolas Tapia Reyes (mauricio.tapia)</cp:lastModifiedBy>
  <cp:revision>18</cp:revision>
  <dcterms:created xsi:type="dcterms:W3CDTF">2019-04-05T13:59:00Z</dcterms:created>
  <dcterms:modified xsi:type="dcterms:W3CDTF">2020-01-15T13:48:00Z</dcterms:modified>
</cp:coreProperties>
</file>