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135"/>
        <w:gridCol w:w="2693"/>
        <w:gridCol w:w="2126"/>
        <w:gridCol w:w="424"/>
        <w:gridCol w:w="708"/>
        <w:gridCol w:w="1859"/>
      </w:tblGrid>
      <w:tr>
        <w:trPr>
          <w:trHeight w:val="633" w:hRule="atLeast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45" w:type="dxa"/>
            <w:gridSpan w:val="6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120"/>
              <w:ind w:left="3071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PROGRAMA DE CURSO</w:t>
            </w:r>
          </w:p>
        </w:tc>
      </w:tr>
      <w:tr>
        <w:trPr>
          <w:trHeight w:val="577" w:hRule="atLeast"/>
        </w:trPr>
        <w:tc>
          <w:tcPr>
            <w:tcW w:w="1243" w:type="dxa"/>
            <w:gridSpan w:val="2"/>
            <w:tcBorders>
              <w:right w:val="dotted" w:sz="4" w:space="0" w:color="000000"/>
            </w:tcBorders>
          </w:tcPr>
          <w:p>
            <w:pPr>
              <w:pStyle w:val="TableParagraph"/>
              <w:spacing w:before="1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CARRERA</w:t>
            </w:r>
          </w:p>
        </w:tc>
        <w:tc>
          <w:tcPr>
            <w:tcW w:w="4819" w:type="dxa"/>
            <w:gridSpan w:val="2"/>
            <w:tcBorders>
              <w:left w:val="dotted" w:sz="4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Diseño</w:t>
            </w:r>
          </w:p>
        </w:tc>
        <w:tc>
          <w:tcPr>
            <w:tcW w:w="1132" w:type="dxa"/>
            <w:gridSpan w:val="2"/>
            <w:tcBorders>
              <w:right w:val="dotted" w:sz="4" w:space="0" w:color="000000"/>
            </w:tcBorders>
          </w:tcPr>
          <w:p>
            <w:pPr>
              <w:pStyle w:val="TableParagraph"/>
              <w:spacing w:before="11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CODIGO</w:t>
            </w:r>
          </w:p>
        </w:tc>
        <w:tc>
          <w:tcPr>
            <w:tcW w:w="1859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AUD20003</w:t>
            </w:r>
          </w:p>
        </w:tc>
      </w:tr>
      <w:tr>
        <w:trPr>
          <w:trHeight w:val="1084" w:hRule="atLeast"/>
        </w:trPr>
        <w:tc>
          <w:tcPr>
            <w:tcW w:w="9053" w:type="dxa"/>
            <w:gridSpan w:val="7"/>
            <w:tcBorders>
              <w:bottom w:val="dotted" w:sz="4" w:space="0" w:color="000000"/>
            </w:tcBorders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1. Nombre de la actividad curricular</w:t>
            </w:r>
          </w:p>
          <w:p>
            <w:pPr>
              <w:pStyle w:val="TableParagraph"/>
              <w:spacing w:before="163"/>
              <w:rPr>
                <w:b/>
                <w:sz w:val="22"/>
              </w:rPr>
            </w:pPr>
            <w:r>
              <w:rPr>
                <w:b/>
                <w:sz w:val="22"/>
              </w:rPr>
              <w:t>REPRESENTACIÓN CONCEPTUAL</w:t>
            </w:r>
          </w:p>
        </w:tc>
      </w:tr>
      <w:tr>
        <w:trPr>
          <w:trHeight w:val="1115" w:hRule="atLeast"/>
        </w:trPr>
        <w:tc>
          <w:tcPr>
            <w:tcW w:w="9053" w:type="dxa"/>
            <w:gridSpan w:val="7"/>
            <w:tcBorders>
              <w:top w:val="dotted" w:sz="4" w:space="0" w:color="000000"/>
            </w:tcBorders>
          </w:tcPr>
          <w:p>
            <w:pPr>
              <w:pStyle w:val="TableParagraph"/>
              <w:spacing w:line="374" w:lineRule="auto" w:before="117"/>
              <w:ind w:right="393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actividad curricular en inglés CONCEPTUAL REPRESENTATION</w:t>
            </w:r>
          </w:p>
        </w:tc>
      </w:tr>
      <w:tr>
        <w:trPr>
          <w:trHeight w:val="1113" w:hRule="atLeast"/>
        </w:trPr>
        <w:tc>
          <w:tcPr>
            <w:tcW w:w="9053" w:type="dxa"/>
            <w:gridSpan w:val="7"/>
          </w:tcPr>
          <w:p>
            <w:pPr>
              <w:pStyle w:val="TableParagraph"/>
              <w:spacing w:before="116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2. Palabras Clave</w:t>
            </w:r>
          </w:p>
          <w:p>
            <w:pPr>
              <w:pStyle w:val="TableParagraph"/>
              <w:spacing w:before="163"/>
              <w:ind w:left="827"/>
              <w:rPr>
                <w:sz w:val="24"/>
              </w:rPr>
            </w:pPr>
            <w:r>
              <w:rPr>
                <w:sz w:val="24"/>
              </w:rPr>
              <w:t>Semiótica; lenguaje visual; concepto; discurso; síntesis gráfica.</w:t>
            </w:r>
          </w:p>
        </w:tc>
      </w:tr>
      <w:tr>
        <w:trPr>
          <w:trHeight w:val="1113" w:hRule="atLeast"/>
        </w:trPr>
        <w:tc>
          <w:tcPr>
            <w:tcW w:w="9053" w:type="dxa"/>
            <w:gridSpan w:val="7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3. Unidad Académica</w:t>
            </w:r>
          </w:p>
          <w:p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Escuela Unificada de Pre Grado. FAU. Carrera de Diseño.</w:t>
            </w:r>
          </w:p>
        </w:tc>
      </w:tr>
      <w:tr>
        <w:trPr>
          <w:trHeight w:val="1115" w:hRule="atLeast"/>
        </w:trPr>
        <w:tc>
          <w:tcPr>
            <w:tcW w:w="9053" w:type="dxa"/>
            <w:gridSpan w:val="7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4. Ámbito</w:t>
            </w:r>
          </w:p>
          <w:p>
            <w:pPr>
              <w:pStyle w:val="TableParagraph"/>
              <w:spacing w:before="165"/>
              <w:ind w:left="827"/>
              <w:rPr>
                <w:sz w:val="24"/>
              </w:rPr>
            </w:pPr>
            <w:r>
              <w:rPr>
                <w:sz w:val="24"/>
              </w:rPr>
              <w:t>Sistematizar y Gestionar.</w:t>
            </w:r>
          </w:p>
        </w:tc>
      </w:tr>
      <w:tr>
        <w:trPr>
          <w:trHeight w:val="672" w:hRule="atLeast"/>
        </w:trPr>
        <w:tc>
          <w:tcPr>
            <w:tcW w:w="3936" w:type="dxa"/>
            <w:gridSpan w:val="3"/>
            <w:vMerge w:val="restart"/>
          </w:tcPr>
          <w:p>
            <w:pPr>
              <w:pStyle w:val="TableParagraph"/>
              <w:spacing w:before="115"/>
              <w:ind w:left="820" w:right="419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5. Número de Créditos SCT - Chile</w:t>
            </w:r>
          </w:p>
        </w:tc>
        <w:tc>
          <w:tcPr>
            <w:tcW w:w="2550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Horas directas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(presencial)</w:t>
            </w:r>
          </w:p>
        </w:tc>
        <w:tc>
          <w:tcPr>
            <w:tcW w:w="2567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Horas indirectas</w:t>
            </w:r>
          </w:p>
          <w:p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(no presencial)</w:t>
            </w:r>
          </w:p>
        </w:tc>
      </w:tr>
      <w:tr>
        <w:trPr>
          <w:trHeight w:val="1209" w:hRule="atLeast"/>
        </w:trPr>
        <w:tc>
          <w:tcPr>
            <w:tcW w:w="393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3 horas semanales</w:t>
            </w:r>
          </w:p>
        </w:tc>
        <w:tc>
          <w:tcPr>
            <w:tcW w:w="2567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1,5 horas semanales</w:t>
            </w:r>
          </w:p>
        </w:tc>
      </w:tr>
      <w:tr>
        <w:trPr>
          <w:trHeight w:val="575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6. Requisitos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spacing w:before="11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Admisión</w:t>
            </w:r>
          </w:p>
        </w:tc>
      </w:tr>
      <w:tr>
        <w:trPr>
          <w:trHeight w:val="1589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7. Propósito formativo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spacing w:line="276" w:lineRule="auto" w:before="115"/>
              <w:ind w:left="108" w:right="291"/>
              <w:rPr>
                <w:sz w:val="24"/>
              </w:rPr>
            </w:pPr>
            <w:r>
              <w:rPr>
                <w:sz w:val="24"/>
              </w:rPr>
              <w:t>Representación de ideas, propuestas, interacciones y relaciones a través de imágenes, mediante técnicas como el sketch, la fotografía, los mapas conceptuales, el video y otras.</w:t>
            </w:r>
          </w:p>
        </w:tc>
      </w:tr>
      <w:tr>
        <w:trPr>
          <w:trHeight w:val="1924" w:hRule="atLeast"/>
        </w:trPr>
        <w:tc>
          <w:tcPr>
            <w:tcW w:w="3936" w:type="dxa"/>
            <w:gridSpan w:val="3"/>
          </w:tcPr>
          <w:p>
            <w:pPr>
              <w:pStyle w:val="TableParagraph"/>
              <w:spacing w:before="115"/>
              <w:ind w:left="820" w:right="419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8. Competencias y subcompetencias a las que contribuye el curso</w:t>
            </w:r>
          </w:p>
        </w:tc>
        <w:tc>
          <w:tcPr>
            <w:tcW w:w="5117" w:type="dxa"/>
            <w:gridSpan w:val="4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543" w:val="left" w:leader="none"/>
              </w:tabs>
              <w:spacing w:line="276" w:lineRule="auto" w:before="0" w:after="0"/>
              <w:ind w:left="108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Investiga sobre las relaciones entre actores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y contextos.</w:t>
            </w:r>
          </w:p>
          <w:p>
            <w:pPr>
              <w:pStyle w:val="TableParagraph"/>
              <w:spacing w:line="276" w:lineRule="auto" w:before="116"/>
              <w:ind w:left="283" w:right="735"/>
              <w:rPr>
                <w:sz w:val="24"/>
              </w:rPr>
            </w:pPr>
            <w:r>
              <w:rPr>
                <w:sz w:val="24"/>
              </w:rPr>
              <w:t>IV.1.a Observa fenómenos del entorno en diferentes escalas.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43" w:val="left" w:leader="none"/>
              </w:tabs>
              <w:spacing w:line="240" w:lineRule="auto" w:before="118" w:after="0"/>
              <w:ind w:left="542" w:right="0" w:hanging="435"/>
              <w:jc w:val="left"/>
              <w:rPr>
                <w:sz w:val="24"/>
              </w:rPr>
            </w:pPr>
            <w:r>
              <w:rPr>
                <w:sz w:val="24"/>
              </w:rPr>
              <w:t>Analiza actores, situaciones y contextos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20" w:bottom="280" w:left="1480" w:right="14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5121"/>
      </w:tblGrid>
      <w:tr>
        <w:trPr>
          <w:trHeight w:val="1252" w:hRule="atLeast"/>
        </w:trPr>
        <w:tc>
          <w:tcPr>
            <w:tcW w:w="393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21" w:type="dxa"/>
          </w:tcPr>
          <w:p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identificar oportunidades de intervención.</w:t>
            </w:r>
          </w:p>
          <w:p>
            <w:pPr>
              <w:pStyle w:val="TableParagraph"/>
              <w:spacing w:line="276" w:lineRule="auto" w:before="163"/>
              <w:ind w:left="282" w:right="815"/>
              <w:rPr>
                <w:sz w:val="24"/>
              </w:rPr>
            </w:pPr>
            <w:r>
              <w:rPr>
                <w:sz w:val="24"/>
              </w:rPr>
              <w:t>IV.2.a Identifica interacciones sociales en distintos entornos y escalas.</w:t>
            </w:r>
          </w:p>
        </w:tc>
      </w:tr>
      <w:tr>
        <w:trPr>
          <w:trHeight w:val="3199" w:hRule="atLeast"/>
        </w:trPr>
        <w:tc>
          <w:tcPr>
            <w:tcW w:w="9058" w:type="dxa"/>
            <w:gridSpan w:val="2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9. Resultados de Aprendizaje</w:t>
            </w:r>
          </w:p>
          <w:p>
            <w:pPr>
              <w:pStyle w:val="TableParagraph"/>
              <w:spacing w:line="278" w:lineRule="auto" w:before="163"/>
              <w:rPr>
                <w:sz w:val="24"/>
              </w:rPr>
            </w:pPr>
            <w:r>
              <w:rPr>
                <w:sz w:val="24"/>
              </w:rPr>
              <w:t>Reconoce los elementos fundamentales del lenguaje visual de forma sistemática para realizar ejercicios de representación de ideas y conceptos.</w:t>
            </w:r>
          </w:p>
          <w:p>
            <w:pPr>
              <w:pStyle w:val="TableParagraph"/>
              <w:spacing w:line="278" w:lineRule="auto" w:before="194"/>
              <w:ind w:right="172"/>
              <w:rPr>
                <w:sz w:val="24"/>
              </w:rPr>
            </w:pPr>
            <w:r>
              <w:rPr>
                <w:sz w:val="24"/>
              </w:rPr>
              <w:t>Conceptualiza mensajes y contenidos de manera que estructura una sintaxis visual en función de un objetivo comunicacional.</w:t>
            </w:r>
          </w:p>
          <w:p>
            <w:pPr>
              <w:pStyle w:val="TableParagraph"/>
              <w:spacing w:line="278" w:lineRule="auto" w:before="194"/>
              <w:ind w:right="227"/>
              <w:rPr>
                <w:sz w:val="24"/>
              </w:rPr>
            </w:pPr>
            <w:r>
              <w:rPr>
                <w:sz w:val="24"/>
              </w:rPr>
              <w:t>Emplea el lenguaje visual de manera ordenada y coherente para la elaboración de un discurso visual para representar conceptos o ideas.</w:t>
            </w:r>
          </w:p>
        </w:tc>
      </w:tr>
      <w:tr>
        <w:trPr>
          <w:trHeight w:val="3535" w:hRule="atLeast"/>
        </w:trPr>
        <w:tc>
          <w:tcPr>
            <w:tcW w:w="9058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6" w:val="left" w:leader="none"/>
              </w:tabs>
              <w:spacing w:line="240" w:lineRule="auto" w:before="115" w:after="0"/>
              <w:ind w:left="815" w:right="0" w:hanging="3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Saberes fundamentales 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Contenidos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76" w:val="left" w:leader="none"/>
              </w:tabs>
              <w:spacing w:line="240" w:lineRule="auto" w:before="163" w:after="0"/>
              <w:ind w:left="11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Semiología de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imagen.</w:t>
            </w:r>
          </w:p>
          <w:p>
            <w:pPr>
              <w:pStyle w:val="TableParagraph"/>
              <w:spacing w:before="43"/>
              <w:ind w:left="1175"/>
              <w:rPr>
                <w:sz w:val="24"/>
              </w:rPr>
            </w:pPr>
            <w:r>
              <w:rPr>
                <w:sz w:val="24"/>
              </w:rPr>
              <w:t>Particularidades del Lenguaje visual; Signos y Codigos Visuales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230" w:val="left" w:leader="none"/>
                <w:tab w:pos="1231" w:val="left" w:leader="none"/>
              </w:tabs>
              <w:spacing w:line="240" w:lineRule="auto" w:before="0" w:after="0"/>
              <w:ind w:left="1230" w:right="0" w:hanging="416"/>
              <w:jc w:val="left"/>
              <w:rPr>
                <w:sz w:val="24"/>
              </w:rPr>
            </w:pPr>
            <w:r>
              <w:rPr>
                <w:sz w:val="24"/>
              </w:rPr>
              <w:t>Codificación y síntesis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gráfica.</w:t>
            </w:r>
          </w:p>
          <w:p>
            <w:pPr>
              <w:pStyle w:val="TableParagraph"/>
              <w:spacing w:before="46"/>
              <w:ind w:left="1175"/>
              <w:rPr>
                <w:sz w:val="24"/>
              </w:rPr>
            </w:pPr>
            <w:r>
              <w:rPr>
                <w:sz w:val="24"/>
              </w:rPr>
              <w:t>Estudio y proceso de construcción de imágenes significantes.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176" w:val="left" w:leader="none"/>
              </w:tabs>
              <w:spacing w:line="240" w:lineRule="auto" w:before="0" w:after="0"/>
              <w:ind w:left="11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Discursos visuales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conceptualización.</w:t>
            </w:r>
          </w:p>
          <w:p>
            <w:pPr>
              <w:pStyle w:val="TableParagraph"/>
              <w:spacing w:line="276" w:lineRule="auto" w:before="45"/>
              <w:ind w:left="1175" w:right="684"/>
              <w:rPr>
                <w:sz w:val="24"/>
              </w:rPr>
            </w:pPr>
            <w:r>
              <w:rPr>
                <w:sz w:val="24"/>
              </w:rPr>
              <w:t>Elaboración de narrativas visuales a partir del concepto como parte de un proyecto de diseño.</w:t>
            </w:r>
          </w:p>
        </w:tc>
      </w:tr>
      <w:tr>
        <w:trPr>
          <w:trHeight w:val="3021" w:hRule="atLeast"/>
        </w:trPr>
        <w:tc>
          <w:tcPr>
            <w:tcW w:w="9058" w:type="dxa"/>
            <w:gridSpan w:val="2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11. Metodología</w:t>
            </w:r>
          </w:p>
          <w:p>
            <w:pPr>
              <w:pStyle w:val="TableParagraph"/>
              <w:spacing w:line="441" w:lineRule="auto" w:before="163"/>
              <w:ind w:right="2471"/>
              <w:rPr>
                <w:sz w:val="24"/>
              </w:rPr>
            </w:pPr>
            <w:r>
              <w:rPr>
                <w:sz w:val="24"/>
              </w:rPr>
              <w:t>Aprendizaje sobre la base de planteamiento de problemas. Clase con participación de estudiantes.</w:t>
            </w:r>
          </w:p>
          <w:p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Estudios y análisis de casos.</w:t>
            </w: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Lecturas recomendadas.</w:t>
            </w:r>
          </w:p>
        </w:tc>
      </w:tr>
      <w:tr>
        <w:trPr>
          <w:trHeight w:val="1787" w:hRule="atLeast"/>
        </w:trPr>
        <w:tc>
          <w:tcPr>
            <w:tcW w:w="9058" w:type="dxa"/>
            <w:gridSpan w:val="2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12. Evaluación</w:t>
            </w:r>
          </w:p>
          <w:p>
            <w:pPr>
              <w:pStyle w:val="TableParagraph"/>
              <w:spacing w:line="276" w:lineRule="auto" w:before="163"/>
              <w:ind w:right="306"/>
              <w:rPr>
                <w:sz w:val="24"/>
              </w:rPr>
            </w:pPr>
            <w:r>
              <w:rPr>
                <w:sz w:val="24"/>
              </w:rPr>
              <w:t>Logro de aprendizaje evaluado: Reconoce los elementos fundamentales del lenguaje visual de forma sistemática para realizar ejercicios de representación de ideas y conceptos.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2240" w:h="15840"/>
          <w:pgMar w:top="1420" w:bottom="280" w:left="1480" w:right="14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7"/>
      </w:tblGrid>
      <w:tr>
        <w:trPr>
          <w:trHeight w:val="5582" w:hRule="atLeast"/>
        </w:trPr>
        <w:tc>
          <w:tcPr>
            <w:tcW w:w="9057" w:type="dxa"/>
          </w:tcPr>
          <w:p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Indicadores: a) Identifica los elementos conceptuales del Lenguaje Visual b) Reconoce las características propias del Lenguaje Visual, c) Relaciona los elementos del Lenguaje Visual de manera que establece relaciones significantes entre ellos.</w:t>
            </w:r>
          </w:p>
          <w:p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Medio de verificación: Ejercicios de análisis, estudios de caso, etc.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right="361"/>
              <w:rPr>
                <w:sz w:val="24"/>
              </w:rPr>
            </w:pPr>
            <w:r>
              <w:rPr>
                <w:sz w:val="24"/>
              </w:rPr>
              <w:t>Logro de aprendizaje evaluado: Conceptualiza mensajes y contenidos de manera que estructura una sintaxis visual en función de un objetivo comunicacional.</w:t>
            </w:r>
          </w:p>
          <w:p>
            <w:pPr>
              <w:pStyle w:val="TableParagraph"/>
              <w:spacing w:line="276" w:lineRule="auto" w:before="196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Indicadores: a) Utiliza métodos de conceptualización aplicados al diseño, b) ordena y jerarquiza el planteamiento de ideas, c) Reconoce objetivos comunicacionales de forma clara y precisa.</w:t>
            </w:r>
          </w:p>
          <w:p>
            <w:pPr>
              <w:pStyle w:val="TableParagraph"/>
              <w:spacing w:line="276" w:lineRule="auto" w:before="200"/>
              <w:ind w:right="132"/>
              <w:rPr>
                <w:i/>
                <w:sz w:val="24"/>
              </w:rPr>
            </w:pPr>
            <w:r>
              <w:rPr>
                <w:sz w:val="24"/>
              </w:rPr>
              <w:t>Medio de verificación: Elaboración de ejercicios de mapas conceptuales de manera grupal, realiza de manera individual ejercicios de síntesis gráficas de conceptos, etc</w:t>
            </w:r>
            <w:r>
              <w:rPr>
                <w:i/>
                <w:sz w:val="24"/>
              </w:rPr>
              <w:t>.</w:t>
            </w:r>
          </w:p>
        </w:tc>
      </w:tr>
      <w:tr>
        <w:trPr>
          <w:trHeight w:val="1907" w:hRule="atLeast"/>
        </w:trPr>
        <w:tc>
          <w:tcPr>
            <w:tcW w:w="9057" w:type="dxa"/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13. Requisitos de aprobación</w:t>
            </w:r>
          </w:p>
          <w:p>
            <w:pPr>
              <w:pStyle w:val="TableParagraph"/>
              <w:spacing w:line="276" w:lineRule="auto" w:before="163"/>
              <w:ind w:right="314"/>
              <w:rPr>
                <w:sz w:val="24"/>
              </w:rPr>
            </w:pPr>
            <w:r>
              <w:rPr>
                <w:sz w:val="24"/>
              </w:rPr>
              <w:t>Promedio de notas parciales igual o superior a 4,0 (cuatro) en una escala de 1,0 a 7,0.</w:t>
            </w:r>
          </w:p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Asistencia m</w:t>
            </w:r>
            <w:r>
              <w:rPr>
                <w:rFonts w:ascii="Arial" w:hAnsi="Arial"/>
                <w:sz w:val="24"/>
              </w:rPr>
              <w:t>ínima de </w:t>
            </w:r>
            <w:r>
              <w:rPr>
                <w:sz w:val="24"/>
              </w:rPr>
              <w:t>80%</w:t>
            </w:r>
          </w:p>
        </w:tc>
      </w:tr>
      <w:tr>
        <w:trPr>
          <w:trHeight w:val="5145" w:hRule="atLeast"/>
        </w:trPr>
        <w:tc>
          <w:tcPr>
            <w:tcW w:w="905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14. Bibliografía obligatoria (no más de 5 textos)</w:t>
            </w:r>
          </w:p>
          <w:p>
            <w:pPr>
              <w:pStyle w:val="TableParagraph"/>
              <w:spacing w:line="276" w:lineRule="auto" w:before="163"/>
              <w:ind w:right="88"/>
              <w:rPr>
                <w:sz w:val="24"/>
              </w:rPr>
            </w:pPr>
            <w:r>
              <w:rPr>
                <w:sz w:val="24"/>
              </w:rPr>
              <w:t>- D. A. Dondis, Justo G. Beramendi. La sintaxis de la imagen. Editorial Gustavo Gili. 1978. España.</w:t>
            </w:r>
          </w:p>
          <w:p>
            <w:pPr>
              <w:pStyle w:val="TableParagraph"/>
              <w:spacing w:line="278" w:lineRule="auto" w:before="200"/>
              <w:ind w:right="88"/>
              <w:rPr>
                <w:sz w:val="24"/>
              </w:rPr>
            </w:pPr>
            <w:r>
              <w:rPr>
                <w:sz w:val="24"/>
              </w:rPr>
              <w:t>-Floch, Jean-Marie. Semiótica y márketing: bajo los signos, las estrategias.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Paidós. 1993.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Barcelona.</w:t>
            </w:r>
          </w:p>
          <w:p>
            <w:pPr>
              <w:pStyle w:val="TableParagraph"/>
              <w:spacing w:line="278" w:lineRule="auto" w:before="194"/>
              <w:ind w:right="914"/>
              <w:rPr>
                <w:sz w:val="24"/>
              </w:rPr>
            </w:pPr>
            <w:r>
              <w:rPr>
                <w:sz w:val="24"/>
              </w:rPr>
              <w:t>-Frutiger, Adrian. Signos, símbolos, marcas y señales. Editorial Gustavo Gili. Barcelona. 1981.</w:t>
            </w:r>
          </w:p>
          <w:p>
            <w:pPr>
              <w:pStyle w:val="TableParagraph"/>
              <w:spacing w:line="278" w:lineRule="auto" w:before="194"/>
              <w:ind w:right="871"/>
              <w:rPr>
                <w:sz w:val="24"/>
              </w:rPr>
            </w:pPr>
            <w:r>
              <w:rPr>
                <w:sz w:val="24"/>
              </w:rPr>
              <w:t>-Aicher, Otl. Kampen, Martin. Sistemas de signos en la comunicación visual. Editorial Gustavo Gili. 1991. España.</w:t>
            </w:r>
          </w:p>
        </w:tc>
      </w:tr>
    </w:tbl>
    <w:p>
      <w:pPr>
        <w:spacing w:after="0" w:line="278" w:lineRule="auto"/>
        <w:rPr>
          <w:sz w:val="24"/>
        </w:rPr>
        <w:sectPr>
          <w:pgSz w:w="12240" w:h="15840"/>
          <w:pgMar w:top="1420" w:bottom="280" w:left="1480" w:right="146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7"/>
      </w:tblGrid>
      <w:tr>
        <w:trPr>
          <w:trHeight w:val="537" w:hRule="atLeast"/>
        </w:trPr>
        <w:tc>
          <w:tcPr>
            <w:tcW w:w="9057" w:type="dxa"/>
            <w:tcBorders>
              <w:bottom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917" w:hRule="atLeast"/>
        </w:trPr>
        <w:tc>
          <w:tcPr>
            <w:tcW w:w="905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-Aicher, Otl. El mundo como proyecto. Editorial Gustavo Gili. 1994. España.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4"/>
              </w:rPr>
              <w:t>-Aicher, Otl. Analogous and Digital. </w:t>
            </w:r>
            <w:r>
              <w:rPr>
                <w:sz w:val="22"/>
              </w:rPr>
              <w:t>Wilhelm Vossenkuhl Editor. 2015.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Bibliografia Complementaria: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-Bonsiepe, Guy. Del objeto a la interfase: Mutaciones del diseño. Ediciones Infinito. Buenos Aires. 1999.</w:t>
            </w:r>
          </w:p>
          <w:p>
            <w:pPr>
              <w:pStyle w:val="TableParagraph"/>
              <w:spacing w:line="276" w:lineRule="auto" w:before="200"/>
              <w:ind w:right="613"/>
              <w:rPr>
                <w:sz w:val="24"/>
              </w:rPr>
            </w:pPr>
            <w:r>
              <w:rPr>
                <w:sz w:val="24"/>
              </w:rPr>
              <w:t>-Arnheim </w:t>
            </w:r>
            <w:hyperlink r:id="rId5">
              <w:r>
                <w:rPr>
                  <w:sz w:val="24"/>
                </w:rPr>
                <w:t>Rudolf</w:t>
              </w:r>
            </w:hyperlink>
            <w:r>
              <w:rPr>
                <w:sz w:val="24"/>
              </w:rPr>
              <w:t>. Arte y percepción visual: psicología del ojo creador. Editorial </w:t>
            </w:r>
            <w:hyperlink r:id="rId6">
              <w:r>
                <w:rPr>
                  <w:sz w:val="24"/>
                </w:rPr>
                <w:t>Alianza</w:t>
              </w:r>
            </w:hyperlink>
            <w:r>
              <w:rPr>
                <w:sz w:val="24"/>
              </w:rPr>
              <w:t>. 1980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-Arnheim Rudolf. El pensamiento visual, Eudeba, 1971.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-Klein, Naomi. No logo. Paidos. 2002.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-Costa, Joan. Identidad Corporativa. Ed. Trillas. 1999.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J., Berger. Modos de Ver, Gustavo Gili,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1975.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6" w:lineRule="auto" w:before="1"/>
              <w:ind w:right="1411"/>
              <w:rPr>
                <w:sz w:val="24"/>
              </w:rPr>
            </w:pPr>
            <w:r>
              <w:rPr>
                <w:sz w:val="24"/>
              </w:rPr>
              <w:t>-Chaves, Norberto. La Imagen Corporativa. Teoría y metodología de la Identificación Institucional. Gustavo Gili.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1988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-Cooper, J.C. Diccionario De Símbolos. Gustavo Gili. 2007.</w:t>
            </w:r>
          </w:p>
        </w:tc>
      </w:tr>
      <w:tr>
        <w:trPr>
          <w:trHeight w:val="5347" w:hRule="atLeast"/>
        </w:trPr>
        <w:tc>
          <w:tcPr>
            <w:tcW w:w="9057" w:type="dxa"/>
            <w:tcBorders>
              <w:top w:val="dotted" w:sz="4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Recursos web</w:t>
            </w:r>
          </w:p>
          <w:p>
            <w:pPr>
              <w:pStyle w:val="TableParagraph"/>
              <w:spacing w:line="276" w:lineRule="auto" w:before="163"/>
              <w:ind w:right="3507"/>
              <w:rPr>
                <w:sz w:val="24"/>
              </w:rPr>
            </w:pPr>
            <w:r>
              <w:rPr>
                <w:sz w:val="24"/>
              </w:rPr>
              <w:t>Catálogo bibliográfico de la Universidad de Chile [https:</w:t>
            </w:r>
            <w:hyperlink r:id="rId7">
              <w:r>
                <w:rPr>
                  <w:sz w:val="24"/>
                </w:rPr>
                <w:t>//www.bibliotecadigital.uchile.cl/</w:t>
              </w:r>
            </w:hyperlink>
            <w:r>
              <w:rPr>
                <w:sz w:val="24"/>
              </w:rPr>
              <w:t>]</w:t>
            </w:r>
          </w:p>
          <w:p>
            <w:pPr>
              <w:pStyle w:val="TableParagraph"/>
              <w:spacing w:line="276" w:lineRule="auto" w:before="200"/>
              <w:ind w:right="1710"/>
              <w:rPr>
                <w:sz w:val="24"/>
              </w:rPr>
            </w:pPr>
            <w:r>
              <w:rPr>
                <w:sz w:val="24"/>
              </w:rPr>
              <w:t>Catálogo bibliográfico de la Pontificia Universidad Católica de Chile </w:t>
            </w:r>
            <w:hyperlink r:id="rId8">
              <w:r>
                <w:rPr>
                  <w:sz w:val="24"/>
                </w:rPr>
                <w:t>[h</w:t>
              </w:r>
            </w:hyperlink>
            <w:r>
              <w:rPr>
                <w:sz w:val="24"/>
              </w:rPr>
              <w:t>t</w:t>
            </w:r>
            <w:hyperlink r:id="rId8">
              <w:r>
                <w:rPr>
                  <w:sz w:val="24"/>
                </w:rPr>
                <w:t>tp://bibliotecas.uc.cl/</w:t>
              </w:r>
            </w:hyperlink>
            <w:r>
              <w:rPr>
                <w:sz w:val="24"/>
              </w:rPr>
              <w:t>]</w:t>
            </w:r>
          </w:p>
          <w:p>
            <w:pPr>
              <w:pStyle w:val="TableParagraph"/>
              <w:spacing w:line="441" w:lineRule="auto" w:before="200"/>
              <w:ind w:right="1411"/>
              <w:rPr>
                <w:sz w:val="24"/>
              </w:rPr>
            </w:pPr>
            <w:r>
              <w:rPr>
                <w:sz w:val="24"/>
              </w:rPr>
              <w:t>Catálogo de la Biblioteca Nacional [</w:t>
            </w:r>
            <w:hyperlink r:id="rId9">
              <w:r>
                <w:rPr>
                  <w:sz w:val="24"/>
                </w:rPr>
                <w:t>http://www.bncatalogo.cl/</w:t>
              </w:r>
            </w:hyperlink>
            <w:r>
              <w:rPr>
                <w:sz w:val="24"/>
              </w:rPr>
              <w:t>] Catálogo de la Biblioteca del Congreso [</w:t>
            </w:r>
            <w:hyperlink r:id="rId10">
              <w:r>
                <w:rPr>
                  <w:sz w:val="24"/>
                </w:rPr>
                <w:t>http://www.bcn.cl/catalogo]</w:t>
              </w:r>
            </w:hyperlink>
          </w:p>
          <w:p>
            <w:pPr>
              <w:pStyle w:val="TableParagraph"/>
              <w:spacing w:line="276" w:lineRule="auto"/>
              <w:ind w:right="971"/>
              <w:rPr>
                <w:sz w:val="24"/>
              </w:rPr>
            </w:pPr>
            <w:r>
              <w:rPr>
                <w:sz w:val="24"/>
              </w:rPr>
              <w:t>Biblioteca y Centro de Documentación del Museo Nacional de Bellas Artes </w:t>
            </w:r>
            <w:hyperlink r:id="rId11">
              <w:r>
                <w:rPr>
                  <w:sz w:val="24"/>
                </w:rPr>
                <w:t>[h</w:t>
              </w:r>
            </w:hyperlink>
            <w:r>
              <w:rPr>
                <w:sz w:val="24"/>
              </w:rPr>
              <w:t>t</w:t>
            </w:r>
            <w:hyperlink r:id="rId11">
              <w:r>
                <w:rPr>
                  <w:sz w:val="24"/>
                </w:rPr>
                <w:t>tp://www.mnba.cl/617/w3-propertyvalue-38966.html</w:t>
              </w:r>
            </w:hyperlink>
            <w:r>
              <w:rPr>
                <w:sz w:val="24"/>
              </w:rPr>
              <w:t>]</w:t>
            </w:r>
          </w:p>
          <w:p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Portal Memoria Chilena [</w:t>
            </w:r>
            <w:hyperlink r:id="rId12">
              <w:r>
                <w:rPr>
                  <w:sz w:val="24"/>
                </w:rPr>
                <w:t>http://www.memoriachilena.cl]</w:t>
              </w:r>
            </w:hyperlink>
          </w:p>
        </w:tc>
      </w:tr>
    </w:tbl>
    <w:p>
      <w:pPr>
        <w:spacing w:after="0"/>
        <w:rPr>
          <w:sz w:val="24"/>
        </w:rPr>
        <w:sectPr>
          <w:pgSz w:w="12240" w:h="15840"/>
          <w:pgMar w:top="1420" w:bottom="280" w:left="1480" w:right="146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2240" w:h="15840"/>
      <w:pgMar w:top="1500" w:bottom="280" w:left="14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815" w:hanging="351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1175" w:hanging="360"/>
        <w:jc w:val="left"/>
      </w:pPr>
      <w:rPr>
        <w:rFonts w:hint="default" w:ascii="Calibri" w:hAnsi="Calibri" w:eastAsia="Calibri" w:cs="Calibri"/>
        <w:i/>
        <w:color w:val="808080"/>
        <w:spacing w:val="-3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28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02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676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425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299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4"/>
      <w:numFmt w:val="upperRoman"/>
      <w:lvlText w:val="%1"/>
      <w:lvlJc w:val="left"/>
      <w:pPr>
        <w:ind w:left="108" w:hanging="43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08" w:hanging="435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816" w:hanging="43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352" w:hanging="43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1889" w:hanging="43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425" w:hanging="43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961" w:hanging="43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498" w:hanging="43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034" w:hanging="435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ind w:left="815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buscalibre.cl/libros/autor/rudolf-arnheim" TargetMode="External"/><Relationship Id="rId6" Type="http://schemas.openxmlformats.org/officeDocument/2006/relationships/hyperlink" Target="https://www.buscalibre.cl/libros/editorial/alianza" TargetMode="External"/><Relationship Id="rId7" Type="http://schemas.openxmlformats.org/officeDocument/2006/relationships/hyperlink" Target="http://www.bibliotecadigital.uchile.cl/" TargetMode="External"/><Relationship Id="rId8" Type="http://schemas.openxmlformats.org/officeDocument/2006/relationships/hyperlink" Target="http://bibliotecas.uc.cl/" TargetMode="External"/><Relationship Id="rId9" Type="http://schemas.openxmlformats.org/officeDocument/2006/relationships/hyperlink" Target="http://www.bncatalogo.cl/" TargetMode="External"/><Relationship Id="rId10" Type="http://schemas.openxmlformats.org/officeDocument/2006/relationships/hyperlink" Target="http://www.bcn.cl/catalogo" TargetMode="External"/><Relationship Id="rId11" Type="http://schemas.openxmlformats.org/officeDocument/2006/relationships/hyperlink" Target="http://www.mnba.cl/617/w3-propertyvalue-38966.html" TargetMode="External"/><Relationship Id="rId12" Type="http://schemas.openxmlformats.org/officeDocument/2006/relationships/hyperlink" Target="http://www.memoriachilena.cl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dcterms:created xsi:type="dcterms:W3CDTF">2019-07-22T19:46:25Z</dcterms:created>
  <dcterms:modified xsi:type="dcterms:W3CDTF">2019-07-22T19:46:25Z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