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F4" w:rsidRDefault="00DA0FF4">
      <w:pPr>
        <w:spacing w:after="0"/>
        <w:ind w:left="-1702" w:right="10387"/>
      </w:pPr>
    </w:p>
    <w:tbl>
      <w:tblPr>
        <w:tblStyle w:val="TableGrid"/>
        <w:tblW w:w="9053" w:type="dxa"/>
        <w:tblInd w:w="-107" w:type="dxa"/>
        <w:tblCellMar>
          <w:top w:w="46" w:type="dxa"/>
          <w:left w:w="106" w:type="dxa"/>
          <w:right w:w="56" w:type="dxa"/>
        </w:tblCellMar>
        <w:tblLook w:val="04A0" w:firstRow="1" w:lastRow="0" w:firstColumn="1" w:lastColumn="0" w:noHBand="0" w:noVBand="1"/>
      </w:tblPr>
      <w:tblGrid>
        <w:gridCol w:w="1242"/>
        <w:gridCol w:w="2693"/>
        <w:gridCol w:w="2127"/>
        <w:gridCol w:w="425"/>
        <w:gridCol w:w="708"/>
        <w:gridCol w:w="1858"/>
      </w:tblGrid>
      <w:tr w:rsidR="00DA0FF4">
        <w:trPr>
          <w:trHeight w:val="640"/>
        </w:trPr>
        <w:tc>
          <w:tcPr>
            <w:tcW w:w="905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A0FF4" w:rsidRDefault="005F7195">
            <w:pPr>
              <w:ind w:right="55"/>
              <w:jc w:val="center"/>
            </w:pPr>
            <w:r>
              <w:rPr>
                <w:b/>
                <w:sz w:val="28"/>
              </w:rPr>
              <w:t>PROGRAMA DE CURSO 2</w:t>
            </w:r>
            <w:bookmarkStart w:id="0" w:name="_GoBack"/>
            <w:bookmarkEnd w:id="0"/>
            <w:r w:rsidR="00B6083E">
              <w:rPr>
                <w:b/>
                <w:sz w:val="28"/>
              </w:rPr>
              <w:t>/2019</w:t>
            </w:r>
            <w:r w:rsidR="00594F2D">
              <w:rPr>
                <w:b/>
                <w:sz w:val="28"/>
              </w:rPr>
              <w:t xml:space="preserve"> </w:t>
            </w:r>
          </w:p>
        </w:tc>
      </w:tr>
      <w:tr w:rsidR="00DA0FF4">
        <w:trPr>
          <w:trHeight w:val="589"/>
        </w:trPr>
        <w:tc>
          <w:tcPr>
            <w:tcW w:w="1242" w:type="dxa"/>
            <w:tcBorders>
              <w:top w:val="single" w:sz="4" w:space="0" w:color="000000"/>
              <w:left w:val="single" w:sz="4" w:space="0" w:color="000000"/>
              <w:bottom w:val="single" w:sz="4" w:space="0" w:color="000000"/>
              <w:right w:val="dashed" w:sz="4" w:space="0" w:color="000000"/>
            </w:tcBorders>
            <w:vAlign w:val="center"/>
          </w:tcPr>
          <w:p w:rsidR="00DA0FF4" w:rsidRDefault="00594F2D">
            <w:pPr>
              <w:ind w:left="1"/>
            </w:pPr>
            <w:r>
              <w:rPr>
                <w:b/>
                <w:sz w:val="24"/>
              </w:rPr>
              <w:t xml:space="preserve">CARRERA </w:t>
            </w:r>
          </w:p>
        </w:tc>
        <w:tc>
          <w:tcPr>
            <w:tcW w:w="4820" w:type="dxa"/>
            <w:gridSpan w:val="2"/>
            <w:tcBorders>
              <w:top w:val="single" w:sz="4" w:space="0" w:color="000000"/>
              <w:left w:val="dashed" w:sz="4" w:space="0" w:color="000000"/>
              <w:bottom w:val="single" w:sz="4" w:space="0" w:color="000000"/>
              <w:right w:val="single" w:sz="4" w:space="0" w:color="000000"/>
            </w:tcBorders>
            <w:vAlign w:val="center"/>
          </w:tcPr>
          <w:p w:rsidR="00DA0FF4" w:rsidRDefault="00594F2D">
            <w:r>
              <w:rPr>
                <w:b/>
                <w:sz w:val="24"/>
              </w:rPr>
              <w:t xml:space="preserve">Arquitectura </w:t>
            </w:r>
          </w:p>
        </w:tc>
        <w:tc>
          <w:tcPr>
            <w:tcW w:w="1133" w:type="dxa"/>
            <w:gridSpan w:val="2"/>
            <w:tcBorders>
              <w:top w:val="single" w:sz="4" w:space="0" w:color="000000"/>
              <w:left w:val="single" w:sz="4" w:space="0" w:color="000000"/>
              <w:bottom w:val="single" w:sz="4" w:space="0" w:color="000000"/>
              <w:right w:val="dashed" w:sz="4" w:space="0" w:color="000000"/>
            </w:tcBorders>
            <w:vAlign w:val="center"/>
          </w:tcPr>
          <w:p w:rsidR="00DA0FF4" w:rsidRDefault="00594F2D">
            <w:pPr>
              <w:ind w:left="2"/>
            </w:pPr>
            <w:r>
              <w:rPr>
                <w:b/>
                <w:sz w:val="24"/>
              </w:rPr>
              <w:t xml:space="preserve">CODIGO </w:t>
            </w:r>
          </w:p>
        </w:tc>
        <w:tc>
          <w:tcPr>
            <w:tcW w:w="1858" w:type="dxa"/>
            <w:tcBorders>
              <w:top w:val="single" w:sz="4" w:space="0" w:color="000000"/>
              <w:left w:val="dashed" w:sz="4" w:space="0" w:color="000000"/>
              <w:bottom w:val="single" w:sz="4" w:space="0" w:color="000000"/>
              <w:right w:val="single" w:sz="4" w:space="0" w:color="000000"/>
            </w:tcBorders>
            <w:vAlign w:val="center"/>
          </w:tcPr>
          <w:p w:rsidR="00DA0FF4" w:rsidRDefault="00594F2D">
            <w:pPr>
              <w:ind w:left="2"/>
            </w:pPr>
            <w:r>
              <w:rPr>
                <w:b/>
                <w:sz w:val="24"/>
              </w:rPr>
              <w:t xml:space="preserve">AUA10003 </w:t>
            </w:r>
          </w:p>
        </w:tc>
      </w:tr>
      <w:tr w:rsidR="00DA0FF4" w:rsidTr="00E664D6">
        <w:trPr>
          <w:trHeight w:val="723"/>
        </w:trPr>
        <w:tc>
          <w:tcPr>
            <w:tcW w:w="9053" w:type="dxa"/>
            <w:gridSpan w:val="6"/>
            <w:tcBorders>
              <w:top w:val="single" w:sz="4" w:space="0" w:color="000000"/>
              <w:left w:val="single" w:sz="4" w:space="0" w:color="000000"/>
              <w:bottom w:val="dashed" w:sz="4" w:space="0" w:color="000000"/>
              <w:right w:val="single" w:sz="4" w:space="0" w:color="000000"/>
            </w:tcBorders>
            <w:vAlign w:val="center"/>
          </w:tcPr>
          <w:p w:rsidR="00DA0FF4" w:rsidRDefault="00594F2D">
            <w:pPr>
              <w:spacing w:after="121"/>
              <w:ind w:left="359"/>
            </w:pPr>
            <w:r>
              <w:rPr>
                <w:b/>
                <w:sz w:val="24"/>
              </w:rPr>
              <w:t>1.</w:t>
            </w:r>
            <w:r>
              <w:rPr>
                <w:rFonts w:ascii="Arial" w:eastAsia="Arial" w:hAnsi="Arial" w:cs="Arial"/>
                <w:b/>
                <w:sz w:val="24"/>
              </w:rPr>
              <w:t xml:space="preserve"> </w:t>
            </w:r>
            <w:r>
              <w:rPr>
                <w:b/>
                <w:sz w:val="24"/>
              </w:rPr>
              <w:t xml:space="preserve">Nombre de la actividad curricular </w:t>
            </w:r>
          </w:p>
          <w:p w:rsidR="00DA0FF4" w:rsidRDefault="00594F2D">
            <w:pPr>
              <w:ind w:left="709"/>
            </w:pPr>
            <w:r>
              <w:t xml:space="preserve">GEOMETRÍA </w:t>
            </w:r>
          </w:p>
        </w:tc>
      </w:tr>
      <w:tr w:rsidR="00DA0FF4" w:rsidTr="00E664D6">
        <w:trPr>
          <w:trHeight w:val="791"/>
        </w:trPr>
        <w:tc>
          <w:tcPr>
            <w:tcW w:w="9053" w:type="dxa"/>
            <w:gridSpan w:val="6"/>
            <w:tcBorders>
              <w:top w:val="dashed" w:sz="4" w:space="0" w:color="000000"/>
              <w:left w:val="single" w:sz="4" w:space="0" w:color="000000"/>
              <w:bottom w:val="single" w:sz="4" w:space="0" w:color="000000"/>
              <w:right w:val="single" w:sz="4" w:space="0" w:color="000000"/>
            </w:tcBorders>
            <w:vAlign w:val="center"/>
          </w:tcPr>
          <w:p w:rsidR="00DA0FF4" w:rsidRDefault="00594F2D">
            <w:pPr>
              <w:spacing w:after="120"/>
              <w:ind w:left="721"/>
            </w:pPr>
            <w:r>
              <w:rPr>
                <w:b/>
                <w:sz w:val="24"/>
              </w:rPr>
              <w:t xml:space="preserve">Nombre de la actividad curricular en inglés </w:t>
            </w:r>
          </w:p>
          <w:p w:rsidR="00DA0FF4" w:rsidRDefault="00594F2D">
            <w:pPr>
              <w:ind w:left="709"/>
            </w:pPr>
            <w:r>
              <w:t xml:space="preserve">GEOMETRY </w:t>
            </w:r>
          </w:p>
        </w:tc>
      </w:tr>
      <w:tr w:rsidR="00DA0FF4" w:rsidTr="00E664D6">
        <w:trPr>
          <w:trHeight w:val="648"/>
        </w:trPr>
        <w:tc>
          <w:tcPr>
            <w:tcW w:w="9053" w:type="dxa"/>
            <w:gridSpan w:val="6"/>
            <w:tcBorders>
              <w:top w:val="single" w:sz="4" w:space="0" w:color="000000"/>
              <w:left w:val="single" w:sz="4" w:space="0" w:color="000000"/>
              <w:bottom w:val="single" w:sz="4" w:space="0" w:color="000000"/>
              <w:right w:val="single" w:sz="4" w:space="0" w:color="000000"/>
            </w:tcBorders>
            <w:vAlign w:val="center"/>
          </w:tcPr>
          <w:p w:rsidR="00DA0FF4" w:rsidRDefault="00594F2D" w:rsidP="00E664D6">
            <w:pPr>
              <w:spacing w:after="123"/>
              <w:ind w:left="359"/>
            </w:pPr>
            <w:r>
              <w:rPr>
                <w:b/>
                <w:sz w:val="24"/>
              </w:rPr>
              <w:t>2.</w:t>
            </w:r>
            <w:r>
              <w:rPr>
                <w:rFonts w:ascii="Arial" w:eastAsia="Arial" w:hAnsi="Arial" w:cs="Arial"/>
                <w:b/>
                <w:sz w:val="24"/>
              </w:rPr>
              <w:t xml:space="preserve"> </w:t>
            </w:r>
            <w:r>
              <w:rPr>
                <w:b/>
                <w:sz w:val="24"/>
              </w:rPr>
              <w:t xml:space="preserve">Palabras Clave </w:t>
            </w:r>
            <w:r>
              <w:rPr>
                <w:b/>
              </w:rPr>
              <w:t xml:space="preserve"> </w:t>
            </w:r>
          </w:p>
        </w:tc>
      </w:tr>
      <w:tr w:rsidR="00DA0FF4" w:rsidTr="00E664D6">
        <w:trPr>
          <w:trHeight w:val="799"/>
        </w:trPr>
        <w:tc>
          <w:tcPr>
            <w:tcW w:w="9053" w:type="dxa"/>
            <w:gridSpan w:val="6"/>
            <w:tcBorders>
              <w:top w:val="single" w:sz="4" w:space="0" w:color="000000"/>
              <w:left w:val="single" w:sz="4" w:space="0" w:color="000000"/>
              <w:bottom w:val="single" w:sz="4" w:space="0" w:color="000000"/>
              <w:right w:val="single" w:sz="4" w:space="0" w:color="000000"/>
            </w:tcBorders>
            <w:vAlign w:val="center"/>
          </w:tcPr>
          <w:p w:rsidR="00DA0FF4" w:rsidRDefault="00594F2D">
            <w:pPr>
              <w:spacing w:after="121"/>
              <w:ind w:left="359"/>
            </w:pPr>
            <w:r>
              <w:rPr>
                <w:b/>
                <w:sz w:val="24"/>
              </w:rPr>
              <w:t>3.</w:t>
            </w:r>
            <w:r>
              <w:rPr>
                <w:rFonts w:ascii="Arial" w:eastAsia="Arial" w:hAnsi="Arial" w:cs="Arial"/>
                <w:b/>
                <w:sz w:val="24"/>
              </w:rPr>
              <w:t xml:space="preserve"> </w:t>
            </w:r>
            <w:r>
              <w:rPr>
                <w:b/>
                <w:sz w:val="24"/>
              </w:rPr>
              <w:t xml:space="preserve">Unidad Académica  </w:t>
            </w:r>
          </w:p>
          <w:p w:rsidR="00DA0FF4" w:rsidRDefault="00594F2D">
            <w:pPr>
              <w:ind w:left="709"/>
            </w:pPr>
            <w:r>
              <w:t xml:space="preserve">Escuela de Pregrado / Departamento de Arquitectura </w:t>
            </w:r>
          </w:p>
        </w:tc>
      </w:tr>
      <w:tr w:rsidR="00DA0FF4" w:rsidTr="00862BD4">
        <w:trPr>
          <w:trHeight w:val="796"/>
        </w:trPr>
        <w:tc>
          <w:tcPr>
            <w:tcW w:w="9053" w:type="dxa"/>
            <w:gridSpan w:val="6"/>
            <w:tcBorders>
              <w:top w:val="single" w:sz="4" w:space="0" w:color="000000"/>
              <w:left w:val="single" w:sz="4" w:space="0" w:color="000000"/>
              <w:bottom w:val="single" w:sz="4" w:space="0" w:color="000000"/>
              <w:right w:val="single" w:sz="4" w:space="0" w:color="000000"/>
            </w:tcBorders>
            <w:vAlign w:val="center"/>
          </w:tcPr>
          <w:p w:rsidR="00DA0FF4" w:rsidRDefault="00594F2D">
            <w:pPr>
              <w:spacing w:after="124"/>
              <w:ind w:left="359"/>
            </w:pPr>
            <w:r>
              <w:rPr>
                <w:b/>
                <w:sz w:val="24"/>
              </w:rPr>
              <w:t>4.</w:t>
            </w:r>
            <w:r>
              <w:rPr>
                <w:rFonts w:ascii="Arial" w:eastAsia="Arial" w:hAnsi="Arial" w:cs="Arial"/>
                <w:b/>
                <w:sz w:val="24"/>
              </w:rPr>
              <w:t xml:space="preserve"> </w:t>
            </w:r>
            <w:r>
              <w:rPr>
                <w:b/>
                <w:sz w:val="24"/>
              </w:rPr>
              <w:t xml:space="preserve">Ámbito  </w:t>
            </w:r>
          </w:p>
          <w:p w:rsidR="00DA0FF4" w:rsidRDefault="00594F2D">
            <w:pPr>
              <w:ind w:left="721"/>
            </w:pPr>
            <w:r>
              <w:t>II. Planificar el medio y diseñar el espacio habitable</w:t>
            </w:r>
            <w:r>
              <w:rPr>
                <w:b/>
              </w:rPr>
              <w:t xml:space="preserve"> </w:t>
            </w:r>
          </w:p>
        </w:tc>
      </w:tr>
      <w:tr w:rsidR="00DA0FF4">
        <w:trPr>
          <w:trHeight w:val="684"/>
        </w:trPr>
        <w:tc>
          <w:tcPr>
            <w:tcW w:w="39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DA0FF4" w:rsidRDefault="00594F2D">
            <w:pPr>
              <w:ind w:right="157"/>
              <w:jc w:val="center"/>
            </w:pPr>
            <w:r>
              <w:rPr>
                <w:b/>
                <w:sz w:val="24"/>
              </w:rPr>
              <w:t>5.</w:t>
            </w:r>
            <w:r>
              <w:rPr>
                <w:rFonts w:ascii="Arial" w:eastAsia="Arial" w:hAnsi="Arial" w:cs="Arial"/>
                <w:b/>
                <w:sz w:val="24"/>
              </w:rPr>
              <w:t xml:space="preserve"> </w:t>
            </w:r>
            <w:r>
              <w:rPr>
                <w:b/>
                <w:sz w:val="24"/>
              </w:rPr>
              <w:t xml:space="preserve">Número de Créditos SCT - </w:t>
            </w:r>
          </w:p>
          <w:p w:rsidR="00DA0FF4" w:rsidRDefault="00594F2D">
            <w:pPr>
              <w:spacing w:after="77"/>
              <w:ind w:left="714"/>
            </w:pPr>
            <w:r>
              <w:rPr>
                <w:b/>
                <w:sz w:val="24"/>
              </w:rPr>
              <w:t xml:space="preserve">Chile </w:t>
            </w:r>
          </w:p>
          <w:p w:rsidR="00DA0FF4" w:rsidRDefault="00594F2D">
            <w:pPr>
              <w:ind w:left="721"/>
            </w:pPr>
            <w:r>
              <w:t>3 (4,5 horas/semana)</w:t>
            </w:r>
            <w:r>
              <w:rPr>
                <w:b/>
              </w:rPr>
              <w:t xml:space="preserve"> </w:t>
            </w:r>
          </w:p>
        </w:tc>
        <w:tc>
          <w:tcPr>
            <w:tcW w:w="2552" w:type="dxa"/>
            <w:gridSpan w:val="2"/>
            <w:tcBorders>
              <w:top w:val="single" w:sz="4" w:space="0" w:color="000000"/>
              <w:left w:val="single" w:sz="4" w:space="0" w:color="000000"/>
              <w:bottom w:val="dashed" w:sz="4" w:space="0" w:color="000000"/>
              <w:right w:val="single" w:sz="4" w:space="0" w:color="000000"/>
            </w:tcBorders>
          </w:tcPr>
          <w:p w:rsidR="00DA0FF4" w:rsidRDefault="00594F2D">
            <w:pPr>
              <w:spacing w:after="19"/>
              <w:ind w:left="2"/>
            </w:pPr>
            <w:r>
              <w:t xml:space="preserve">Horas directas </w:t>
            </w:r>
          </w:p>
          <w:p w:rsidR="00DA0FF4" w:rsidRDefault="00594F2D">
            <w:pPr>
              <w:ind w:left="2"/>
            </w:pPr>
            <w:r>
              <w:t xml:space="preserve">(presencial) </w:t>
            </w:r>
          </w:p>
        </w:tc>
        <w:tc>
          <w:tcPr>
            <w:tcW w:w="2566" w:type="dxa"/>
            <w:gridSpan w:val="2"/>
            <w:tcBorders>
              <w:top w:val="single" w:sz="4" w:space="0" w:color="000000"/>
              <w:left w:val="single" w:sz="4" w:space="0" w:color="000000"/>
              <w:bottom w:val="dashed" w:sz="4" w:space="0" w:color="000000"/>
              <w:right w:val="single" w:sz="4" w:space="0" w:color="000000"/>
            </w:tcBorders>
          </w:tcPr>
          <w:p w:rsidR="00DA0FF4" w:rsidRDefault="00594F2D">
            <w:pPr>
              <w:spacing w:after="20"/>
              <w:ind w:left="2"/>
            </w:pPr>
            <w:r>
              <w:rPr>
                <w:sz w:val="24"/>
              </w:rPr>
              <w:t xml:space="preserve">Horas indirectas </w:t>
            </w:r>
          </w:p>
          <w:p w:rsidR="00DA0FF4" w:rsidRDefault="00594F2D">
            <w:pPr>
              <w:ind w:left="2"/>
            </w:pPr>
            <w:r>
              <w:rPr>
                <w:sz w:val="24"/>
              </w:rPr>
              <w:t xml:space="preserve">(no presencial) </w:t>
            </w:r>
          </w:p>
        </w:tc>
      </w:tr>
      <w:tr w:rsidR="00DA0FF4" w:rsidTr="00862BD4">
        <w:trPr>
          <w:trHeight w:val="479"/>
        </w:trPr>
        <w:tc>
          <w:tcPr>
            <w:tcW w:w="0" w:type="auto"/>
            <w:gridSpan w:val="2"/>
            <w:vMerge/>
            <w:tcBorders>
              <w:top w:val="nil"/>
              <w:left w:val="single" w:sz="4" w:space="0" w:color="000000"/>
              <w:bottom w:val="single" w:sz="4" w:space="0" w:color="000000"/>
              <w:right w:val="single" w:sz="4" w:space="0" w:color="000000"/>
            </w:tcBorders>
          </w:tcPr>
          <w:p w:rsidR="00DA0FF4" w:rsidRDefault="00DA0FF4"/>
        </w:tc>
        <w:tc>
          <w:tcPr>
            <w:tcW w:w="2552" w:type="dxa"/>
            <w:gridSpan w:val="2"/>
            <w:tcBorders>
              <w:top w:val="dashed" w:sz="4" w:space="0" w:color="000000"/>
              <w:left w:val="single" w:sz="4" w:space="0" w:color="000000"/>
              <w:bottom w:val="single" w:sz="4" w:space="0" w:color="000000"/>
              <w:right w:val="single" w:sz="4" w:space="0" w:color="000000"/>
            </w:tcBorders>
          </w:tcPr>
          <w:p w:rsidR="00DA0FF4" w:rsidRDefault="00594F2D">
            <w:pPr>
              <w:ind w:left="2"/>
            </w:pPr>
            <w:r>
              <w:t xml:space="preserve">4,5 </w:t>
            </w:r>
          </w:p>
        </w:tc>
        <w:tc>
          <w:tcPr>
            <w:tcW w:w="2566" w:type="dxa"/>
            <w:gridSpan w:val="2"/>
            <w:tcBorders>
              <w:top w:val="dashed" w:sz="4" w:space="0" w:color="000000"/>
              <w:left w:val="single" w:sz="4" w:space="0" w:color="000000"/>
              <w:bottom w:val="single" w:sz="4" w:space="0" w:color="000000"/>
              <w:right w:val="single" w:sz="4" w:space="0" w:color="000000"/>
            </w:tcBorders>
            <w:vAlign w:val="center"/>
          </w:tcPr>
          <w:p w:rsidR="00DA0FF4" w:rsidRDefault="00594F2D">
            <w:pPr>
              <w:ind w:left="2"/>
            </w:pPr>
            <w:r>
              <w:rPr>
                <w:sz w:val="24"/>
              </w:rPr>
              <w:t xml:space="preserve">0 </w:t>
            </w:r>
          </w:p>
        </w:tc>
      </w:tr>
      <w:tr w:rsidR="00DA0FF4">
        <w:trPr>
          <w:trHeight w:val="588"/>
        </w:trPr>
        <w:tc>
          <w:tcPr>
            <w:tcW w:w="3935" w:type="dxa"/>
            <w:gridSpan w:val="2"/>
            <w:tcBorders>
              <w:top w:val="single" w:sz="4" w:space="0" w:color="000000"/>
              <w:left w:val="single" w:sz="4" w:space="0" w:color="000000"/>
              <w:bottom w:val="single" w:sz="4" w:space="0" w:color="000000"/>
              <w:right w:val="single" w:sz="4" w:space="0" w:color="000000"/>
            </w:tcBorders>
            <w:vAlign w:val="center"/>
          </w:tcPr>
          <w:p w:rsidR="00DA0FF4" w:rsidRDefault="00594F2D">
            <w:pPr>
              <w:ind w:left="359"/>
            </w:pPr>
            <w:r>
              <w:rPr>
                <w:b/>
                <w:sz w:val="24"/>
              </w:rPr>
              <w:t>6.</w:t>
            </w:r>
            <w:r>
              <w:rPr>
                <w:rFonts w:ascii="Arial" w:eastAsia="Arial" w:hAnsi="Arial" w:cs="Arial"/>
                <w:b/>
                <w:sz w:val="24"/>
              </w:rPr>
              <w:t xml:space="preserve"> </w:t>
            </w:r>
            <w:r>
              <w:rPr>
                <w:b/>
                <w:sz w:val="24"/>
              </w:rPr>
              <w:t xml:space="preserve">Requisitos </w:t>
            </w:r>
          </w:p>
        </w:tc>
        <w:tc>
          <w:tcPr>
            <w:tcW w:w="5118" w:type="dxa"/>
            <w:gridSpan w:val="4"/>
            <w:tcBorders>
              <w:top w:val="single" w:sz="4" w:space="0" w:color="000000"/>
              <w:left w:val="single" w:sz="4" w:space="0" w:color="000000"/>
              <w:bottom w:val="single" w:sz="4" w:space="0" w:color="000000"/>
              <w:right w:val="single" w:sz="4" w:space="0" w:color="000000"/>
            </w:tcBorders>
            <w:vAlign w:val="center"/>
          </w:tcPr>
          <w:p w:rsidR="00DA0FF4" w:rsidRDefault="00594F2D">
            <w:pPr>
              <w:ind w:left="2"/>
            </w:pPr>
            <w:r>
              <w:t>Admisión</w:t>
            </w:r>
            <w:r>
              <w:rPr>
                <w:b/>
              </w:rPr>
              <w:t xml:space="preserve"> </w:t>
            </w:r>
          </w:p>
        </w:tc>
      </w:tr>
      <w:tr w:rsidR="00DA0FF4">
        <w:trPr>
          <w:trHeight w:val="1741"/>
        </w:trPr>
        <w:tc>
          <w:tcPr>
            <w:tcW w:w="3935" w:type="dxa"/>
            <w:gridSpan w:val="2"/>
            <w:tcBorders>
              <w:top w:val="single" w:sz="4" w:space="0" w:color="000000"/>
              <w:left w:val="single" w:sz="4" w:space="0" w:color="000000"/>
              <w:bottom w:val="single" w:sz="4" w:space="0" w:color="000000"/>
              <w:right w:val="single" w:sz="4" w:space="0" w:color="000000"/>
            </w:tcBorders>
          </w:tcPr>
          <w:p w:rsidR="00DA0FF4" w:rsidRDefault="00594F2D">
            <w:pPr>
              <w:ind w:left="359"/>
            </w:pPr>
            <w:r>
              <w:rPr>
                <w:b/>
                <w:sz w:val="24"/>
              </w:rPr>
              <w:t>7.</w:t>
            </w:r>
            <w:r>
              <w:rPr>
                <w:rFonts w:ascii="Arial" w:eastAsia="Arial" w:hAnsi="Arial" w:cs="Arial"/>
                <w:b/>
                <w:sz w:val="24"/>
              </w:rPr>
              <w:t xml:space="preserve"> </w:t>
            </w:r>
            <w:r>
              <w:rPr>
                <w:b/>
                <w:sz w:val="24"/>
              </w:rPr>
              <w:t xml:space="preserve">Propósito formativo </w:t>
            </w:r>
          </w:p>
        </w:tc>
        <w:tc>
          <w:tcPr>
            <w:tcW w:w="5118" w:type="dxa"/>
            <w:gridSpan w:val="4"/>
            <w:tcBorders>
              <w:top w:val="single" w:sz="4" w:space="0" w:color="000000"/>
              <w:left w:val="single" w:sz="4" w:space="0" w:color="000000"/>
              <w:bottom w:val="single" w:sz="4" w:space="0" w:color="000000"/>
              <w:right w:val="single" w:sz="4" w:space="0" w:color="000000"/>
            </w:tcBorders>
          </w:tcPr>
          <w:p w:rsidR="00DA0FF4" w:rsidRDefault="00594F2D">
            <w:pPr>
              <w:spacing w:line="239" w:lineRule="auto"/>
              <w:ind w:left="2" w:right="52"/>
              <w:jc w:val="both"/>
            </w:pPr>
            <w:r>
              <w:t xml:space="preserve">Habilitar al estudiante para comprender y aplicar las estructuras del espacio, identificando y clasificando taxonomías de formas geométricas simples </w:t>
            </w:r>
          </w:p>
          <w:p w:rsidR="00DA0FF4" w:rsidRDefault="00594F2D">
            <w:pPr>
              <w:ind w:left="2" w:right="53"/>
              <w:jc w:val="both"/>
            </w:pPr>
            <w:r>
              <w:t xml:space="preserve">(primitivas), recomponiéndolas en formas complejas mediante transformaciones (algoritmos) de su síntesis geométrica. </w:t>
            </w:r>
          </w:p>
        </w:tc>
      </w:tr>
      <w:tr w:rsidR="00DA0FF4">
        <w:trPr>
          <w:trHeight w:val="2438"/>
        </w:trPr>
        <w:tc>
          <w:tcPr>
            <w:tcW w:w="9053" w:type="dxa"/>
            <w:gridSpan w:val="6"/>
            <w:tcBorders>
              <w:top w:val="single" w:sz="4" w:space="0" w:color="000000"/>
              <w:left w:val="single" w:sz="4" w:space="0" w:color="000000"/>
              <w:bottom w:val="single" w:sz="4" w:space="0" w:color="000000"/>
              <w:right w:val="single" w:sz="4" w:space="0" w:color="000000"/>
            </w:tcBorders>
            <w:vAlign w:val="center"/>
          </w:tcPr>
          <w:p w:rsidR="00DA0FF4" w:rsidRDefault="00594F2D">
            <w:pPr>
              <w:spacing w:after="121"/>
              <w:ind w:left="359"/>
            </w:pPr>
            <w:r>
              <w:rPr>
                <w:b/>
                <w:sz w:val="24"/>
              </w:rPr>
              <w:t>8.</w:t>
            </w:r>
            <w:r>
              <w:rPr>
                <w:rFonts w:ascii="Arial" w:eastAsia="Arial" w:hAnsi="Arial" w:cs="Arial"/>
                <w:b/>
                <w:sz w:val="24"/>
              </w:rPr>
              <w:t xml:space="preserve"> </w:t>
            </w:r>
            <w:r>
              <w:rPr>
                <w:b/>
                <w:sz w:val="24"/>
              </w:rPr>
              <w:t xml:space="preserve">Competencias y </w:t>
            </w:r>
            <w:proofErr w:type="spellStart"/>
            <w:r>
              <w:rPr>
                <w:b/>
                <w:sz w:val="24"/>
              </w:rPr>
              <w:t>subcompetencias</w:t>
            </w:r>
            <w:proofErr w:type="spellEnd"/>
            <w:r>
              <w:rPr>
                <w:b/>
                <w:sz w:val="24"/>
              </w:rPr>
              <w:t xml:space="preserve"> a las que contribuye el curso </w:t>
            </w:r>
          </w:p>
          <w:p w:rsidR="00DA0FF4" w:rsidRDefault="00594F2D">
            <w:pPr>
              <w:spacing w:after="121" w:line="238" w:lineRule="auto"/>
              <w:ind w:left="359" w:right="55"/>
              <w:jc w:val="both"/>
            </w:pPr>
            <w:r>
              <w:t xml:space="preserve">II.1 Idear reflexiva, creativa y dinámicamente configuraciones espacio conceptuales que resuelvan el problema, dando sentido a una propuesta, en coherencia con los fundamentos construidos en el diagnóstico aproximándose experimentalmente desde lo estético. </w:t>
            </w:r>
          </w:p>
          <w:p w:rsidR="00DA0FF4" w:rsidRDefault="00594F2D">
            <w:pPr>
              <w:ind w:left="1417" w:right="55"/>
              <w:jc w:val="both"/>
            </w:pPr>
            <w:r>
              <w:t xml:space="preserve">II.1.a Bosquejando mediante la utilización de diversos recursos físicos y/o virtuales (croquis, modelos 3D, organigramas, imágenes y/u otros), aproximaciones que recojan tanto la síntesis interpretativa como su propio caudal (del sujeto). </w:t>
            </w:r>
          </w:p>
        </w:tc>
      </w:tr>
    </w:tbl>
    <w:p w:rsidR="00DA0FF4" w:rsidRDefault="00DA0FF4">
      <w:pPr>
        <w:spacing w:after="0"/>
        <w:ind w:left="-1702" w:right="10387"/>
      </w:pPr>
    </w:p>
    <w:tbl>
      <w:tblPr>
        <w:tblStyle w:val="TableGrid"/>
        <w:tblW w:w="9057" w:type="dxa"/>
        <w:tblInd w:w="-108" w:type="dxa"/>
        <w:tblCellMar>
          <w:top w:w="48" w:type="dxa"/>
          <w:left w:w="466" w:type="dxa"/>
          <w:right w:w="65" w:type="dxa"/>
        </w:tblCellMar>
        <w:tblLook w:val="04A0" w:firstRow="1" w:lastRow="0" w:firstColumn="1" w:lastColumn="0" w:noHBand="0" w:noVBand="1"/>
      </w:tblPr>
      <w:tblGrid>
        <w:gridCol w:w="9057"/>
      </w:tblGrid>
      <w:tr w:rsidR="00DA0FF4">
        <w:trPr>
          <w:trHeight w:val="1594"/>
        </w:trPr>
        <w:tc>
          <w:tcPr>
            <w:tcW w:w="9057" w:type="dxa"/>
            <w:tcBorders>
              <w:top w:val="single" w:sz="4" w:space="0" w:color="000000"/>
              <w:left w:val="single" w:sz="4" w:space="0" w:color="000000"/>
              <w:bottom w:val="single" w:sz="4" w:space="0" w:color="000000"/>
              <w:right w:val="single" w:sz="4" w:space="0" w:color="000000"/>
            </w:tcBorders>
          </w:tcPr>
          <w:p w:rsidR="00DA0FF4" w:rsidRDefault="00594F2D">
            <w:pPr>
              <w:spacing w:after="121" w:line="238" w:lineRule="auto"/>
              <w:ind w:left="1058" w:right="47"/>
              <w:jc w:val="both"/>
            </w:pPr>
            <w:r>
              <w:lastRenderedPageBreak/>
              <w:t xml:space="preserve">II.1.b Elaborando modelos en sus diferentes soportes y con distintas herramientas de acuerdo a lo pertinente y la disponibilidad tecnológica para representar configuraciones espacio-conceptuales. </w:t>
            </w:r>
          </w:p>
          <w:p w:rsidR="00DA0FF4" w:rsidRDefault="00594F2D">
            <w:pPr>
              <w:ind w:left="1058"/>
            </w:pPr>
            <w:r>
              <w:t>II.1.c Buscando y seleccionando las herramientas y metodologías para el modelamiento y expresión más consistente con la idea y la forma de presentarla.</w:t>
            </w:r>
            <w:r>
              <w:rPr>
                <w:b/>
                <w:sz w:val="24"/>
              </w:rPr>
              <w:t xml:space="preserve"> </w:t>
            </w:r>
          </w:p>
        </w:tc>
      </w:tr>
      <w:tr w:rsidR="00DA0FF4">
        <w:trPr>
          <w:trHeight w:val="2410"/>
        </w:trPr>
        <w:tc>
          <w:tcPr>
            <w:tcW w:w="9057" w:type="dxa"/>
            <w:tcBorders>
              <w:top w:val="single" w:sz="4" w:space="0" w:color="000000"/>
              <w:left w:val="single" w:sz="4" w:space="0" w:color="000000"/>
              <w:bottom w:val="single" w:sz="4" w:space="0" w:color="000000"/>
              <w:right w:val="single" w:sz="4" w:space="0" w:color="000000"/>
            </w:tcBorders>
            <w:vAlign w:val="center"/>
          </w:tcPr>
          <w:p w:rsidR="00DA0FF4" w:rsidRDefault="00594F2D">
            <w:pPr>
              <w:spacing w:after="125"/>
            </w:pPr>
            <w:r>
              <w:rPr>
                <w:b/>
                <w:sz w:val="24"/>
              </w:rPr>
              <w:t>9.</w:t>
            </w:r>
            <w:r>
              <w:rPr>
                <w:rFonts w:ascii="Arial" w:eastAsia="Arial" w:hAnsi="Arial" w:cs="Arial"/>
                <w:b/>
                <w:sz w:val="24"/>
              </w:rPr>
              <w:t xml:space="preserve"> </w:t>
            </w:r>
            <w:r>
              <w:rPr>
                <w:b/>
                <w:sz w:val="24"/>
              </w:rPr>
              <w:t xml:space="preserve">Resultados de Aprendizaje </w:t>
            </w:r>
          </w:p>
          <w:p w:rsidR="00DA0FF4" w:rsidRDefault="00594F2D">
            <w:pPr>
              <w:numPr>
                <w:ilvl w:val="0"/>
                <w:numId w:val="1"/>
              </w:numPr>
              <w:spacing w:after="112"/>
            </w:pPr>
            <w:r>
              <w:t>Instancia</w:t>
            </w:r>
            <w:r>
              <w:rPr>
                <w:vertAlign w:val="superscript"/>
              </w:rPr>
              <w:footnoteReference w:id="1"/>
            </w:r>
            <w:r>
              <w:t xml:space="preserve"> objetos geométricos para someterlos a transformaciones. </w:t>
            </w:r>
          </w:p>
          <w:p w:rsidR="00DA0FF4" w:rsidRDefault="00594F2D">
            <w:pPr>
              <w:numPr>
                <w:ilvl w:val="0"/>
                <w:numId w:val="1"/>
              </w:numPr>
              <w:spacing w:after="97"/>
            </w:pPr>
            <w:r>
              <w:t xml:space="preserve">Modela objetos para comprender las leyes del espacio geométrico. </w:t>
            </w:r>
          </w:p>
          <w:p w:rsidR="00DA0FF4" w:rsidRDefault="00594F2D">
            <w:pPr>
              <w:numPr>
                <w:ilvl w:val="0"/>
                <w:numId w:val="1"/>
              </w:numPr>
              <w:spacing w:after="118" w:line="254" w:lineRule="auto"/>
            </w:pPr>
            <w:r>
              <w:t>Visualiza</w:t>
            </w:r>
            <w:r>
              <w:rPr>
                <w:vertAlign w:val="superscript"/>
              </w:rPr>
              <w:footnoteReference w:id="2"/>
            </w:r>
            <w:r>
              <w:t xml:space="preserve"> el objeto y las distintas configuraciones obtenidas en el proceso recursivo para verificar o evaluar que las transformaciones sigan perteneciendo al conjunto. </w:t>
            </w:r>
          </w:p>
          <w:p w:rsidR="00DA0FF4" w:rsidRDefault="00594F2D">
            <w:pPr>
              <w:numPr>
                <w:ilvl w:val="0"/>
                <w:numId w:val="1"/>
              </w:numPr>
            </w:pPr>
            <w:r>
              <w:t>Representa el objeto visualizado y explica el proceso realizado para comunicarlos.</w:t>
            </w:r>
            <w:r>
              <w:rPr>
                <w:i/>
                <w:color w:val="808080"/>
                <w:sz w:val="24"/>
              </w:rPr>
              <w:t xml:space="preserve"> </w:t>
            </w:r>
          </w:p>
        </w:tc>
      </w:tr>
      <w:tr w:rsidR="00DA0FF4">
        <w:trPr>
          <w:trHeight w:val="7995"/>
        </w:trPr>
        <w:tc>
          <w:tcPr>
            <w:tcW w:w="9057" w:type="dxa"/>
            <w:tcBorders>
              <w:top w:val="single" w:sz="4" w:space="0" w:color="000000"/>
              <w:left w:val="single" w:sz="4" w:space="0" w:color="000000"/>
              <w:bottom w:val="single" w:sz="4" w:space="0" w:color="000000"/>
              <w:right w:val="single" w:sz="4" w:space="0" w:color="000000"/>
            </w:tcBorders>
            <w:vAlign w:val="center"/>
          </w:tcPr>
          <w:p w:rsidR="00DA0FF4" w:rsidRDefault="00594F2D">
            <w:pPr>
              <w:spacing w:after="121"/>
            </w:pPr>
            <w:r>
              <w:rPr>
                <w:b/>
                <w:sz w:val="24"/>
              </w:rPr>
              <w:t>10.</w:t>
            </w:r>
            <w:r>
              <w:rPr>
                <w:rFonts w:ascii="Arial" w:eastAsia="Arial" w:hAnsi="Arial" w:cs="Arial"/>
                <w:b/>
                <w:sz w:val="24"/>
              </w:rPr>
              <w:t xml:space="preserve"> </w:t>
            </w:r>
            <w:r>
              <w:rPr>
                <w:b/>
                <w:sz w:val="24"/>
              </w:rPr>
              <w:t xml:space="preserve">Saberes fundamentales / Contenidos </w:t>
            </w:r>
          </w:p>
          <w:p w:rsidR="00DA0FF4" w:rsidRDefault="00594F2D">
            <w:pPr>
              <w:spacing w:after="98"/>
              <w:ind w:left="350"/>
            </w:pPr>
            <w:r>
              <w:t xml:space="preserve">I. Introducción a la geometría: definiciones y taxonomías. </w:t>
            </w:r>
          </w:p>
          <w:p w:rsidR="00DA0FF4" w:rsidRDefault="00594F2D">
            <w:pPr>
              <w:spacing w:after="95"/>
              <w:ind w:left="1058"/>
            </w:pPr>
            <w:r>
              <w:t xml:space="preserve">I.1 Teoría de grupo: funciones </w:t>
            </w:r>
            <w:proofErr w:type="spellStart"/>
            <w:r>
              <w:t>biyectivas</w:t>
            </w:r>
            <w:proofErr w:type="spellEnd"/>
            <w:r>
              <w:t xml:space="preserve">.  </w:t>
            </w:r>
          </w:p>
          <w:p w:rsidR="00DA0FF4" w:rsidRDefault="00594F2D">
            <w:pPr>
              <w:spacing w:after="98"/>
              <w:ind w:left="1058"/>
            </w:pPr>
            <w:r>
              <w:t xml:space="preserve">I.2 Definiciones de geometría: euclidiana, proyectiva, descriptiva y afines. </w:t>
            </w:r>
          </w:p>
          <w:p w:rsidR="00DA0FF4" w:rsidRDefault="00594F2D">
            <w:pPr>
              <w:spacing w:after="98"/>
              <w:ind w:left="350"/>
            </w:pPr>
            <w:r>
              <w:t xml:space="preserve">II. Teoría de las transformaciones en el plano y en el espacio. </w:t>
            </w:r>
          </w:p>
          <w:p w:rsidR="00DA0FF4" w:rsidRDefault="00594F2D">
            <w:pPr>
              <w:spacing w:after="98"/>
              <w:ind w:left="1058"/>
            </w:pPr>
            <w:r>
              <w:t xml:space="preserve">II.1 Transformaciones euclidianas.  </w:t>
            </w:r>
          </w:p>
          <w:p w:rsidR="00DA0FF4" w:rsidRDefault="00594F2D">
            <w:pPr>
              <w:numPr>
                <w:ilvl w:val="2"/>
                <w:numId w:val="2"/>
              </w:numPr>
              <w:spacing w:after="98"/>
              <w:ind w:hanging="118"/>
            </w:pPr>
            <w:r>
              <w:t xml:space="preserve">Espacio lineal: razón simple y razón doble. </w:t>
            </w:r>
          </w:p>
          <w:p w:rsidR="00DA0FF4" w:rsidRDefault="00594F2D">
            <w:pPr>
              <w:numPr>
                <w:ilvl w:val="2"/>
                <w:numId w:val="2"/>
              </w:numPr>
              <w:spacing w:after="98"/>
              <w:ind w:hanging="118"/>
            </w:pPr>
            <w:r>
              <w:t xml:space="preserve">Bidimensional: transformaciones euclidianas en el plano. </w:t>
            </w:r>
          </w:p>
          <w:p w:rsidR="00DA0FF4" w:rsidRDefault="00594F2D">
            <w:pPr>
              <w:spacing w:after="98"/>
              <w:ind w:left="1058"/>
            </w:pPr>
            <w:r>
              <w:t xml:space="preserve">II.2 Transformaciones proyectivas de primera categoría.  </w:t>
            </w:r>
          </w:p>
          <w:p w:rsidR="00DA0FF4" w:rsidRDefault="00594F2D">
            <w:pPr>
              <w:spacing w:after="98"/>
              <w:ind w:left="1058"/>
            </w:pPr>
            <w:r>
              <w:t xml:space="preserve">- Bidimensional: homologías de primera categoría.  </w:t>
            </w:r>
          </w:p>
          <w:p w:rsidR="00DA0FF4" w:rsidRDefault="00594F2D">
            <w:pPr>
              <w:spacing w:after="98"/>
              <w:ind w:left="1058"/>
            </w:pPr>
            <w:r>
              <w:t xml:space="preserve">II.3 Transformaciones proyectivas de segunda categoría.  </w:t>
            </w:r>
          </w:p>
          <w:p w:rsidR="00DA0FF4" w:rsidRDefault="00594F2D">
            <w:pPr>
              <w:spacing w:after="98"/>
              <w:ind w:left="1058"/>
            </w:pPr>
            <w:r>
              <w:t xml:space="preserve">- Tridimensional: homologías de segunda categoría y </w:t>
            </w:r>
            <w:proofErr w:type="spellStart"/>
            <w:r>
              <w:t>boolianas</w:t>
            </w:r>
            <w:proofErr w:type="spellEnd"/>
            <w:r>
              <w:t xml:space="preserve">. </w:t>
            </w:r>
          </w:p>
          <w:p w:rsidR="00DA0FF4" w:rsidRDefault="00594F2D">
            <w:pPr>
              <w:spacing w:after="95"/>
              <w:ind w:left="350"/>
            </w:pPr>
            <w:r>
              <w:t xml:space="preserve">III. Análisis e interpretación de modelos geométricos.  </w:t>
            </w:r>
          </w:p>
          <w:p w:rsidR="00DA0FF4" w:rsidRDefault="00594F2D">
            <w:pPr>
              <w:spacing w:after="98"/>
              <w:ind w:left="1058"/>
            </w:pPr>
            <w:r>
              <w:t xml:space="preserve">III. 1 Jerarquías del espacio. </w:t>
            </w:r>
          </w:p>
          <w:p w:rsidR="00DA0FF4" w:rsidRDefault="00594F2D">
            <w:pPr>
              <w:spacing w:after="98"/>
              <w:ind w:left="1058"/>
            </w:pPr>
            <w:r>
              <w:t xml:space="preserve">III.2 Estructura y orden.  </w:t>
            </w:r>
          </w:p>
          <w:p w:rsidR="00DA0FF4" w:rsidRDefault="00594F2D">
            <w:pPr>
              <w:spacing w:after="98"/>
              <w:ind w:left="1058"/>
            </w:pPr>
            <w:r>
              <w:t xml:space="preserve">III.3 Patrones y simetrías. </w:t>
            </w:r>
          </w:p>
          <w:p w:rsidR="00DA0FF4" w:rsidRDefault="00594F2D">
            <w:pPr>
              <w:spacing w:after="98"/>
              <w:ind w:left="1058"/>
            </w:pPr>
            <w:r>
              <w:t xml:space="preserve">III.4 Dimensiones y proporciones. Escala. </w:t>
            </w:r>
          </w:p>
          <w:p w:rsidR="00DA0FF4" w:rsidRDefault="00594F2D">
            <w:pPr>
              <w:spacing w:after="98"/>
              <w:ind w:left="350"/>
            </w:pPr>
            <w:r>
              <w:t xml:space="preserve">IV. Simulación y construcción de modelos geométricos. </w:t>
            </w:r>
          </w:p>
          <w:p w:rsidR="00DA0FF4" w:rsidRDefault="00594F2D">
            <w:pPr>
              <w:spacing w:after="119"/>
              <w:ind w:left="1058"/>
            </w:pPr>
            <w:r>
              <w:t xml:space="preserve">IV.1 Técnicas de representación: dibujos, normas. </w:t>
            </w:r>
          </w:p>
          <w:p w:rsidR="00DA0FF4" w:rsidRDefault="00594F2D">
            <w:pPr>
              <w:ind w:left="1061"/>
            </w:pPr>
            <w:r>
              <w:rPr>
                <w:sz w:val="24"/>
              </w:rPr>
              <w:t xml:space="preserve">IV.2 Modelos físicos, icónicos, prototipos. </w:t>
            </w:r>
          </w:p>
        </w:tc>
      </w:tr>
    </w:tbl>
    <w:p w:rsidR="00DA0FF4" w:rsidRDefault="00DA0FF4">
      <w:pPr>
        <w:spacing w:after="0"/>
        <w:ind w:left="-1702" w:right="10387"/>
      </w:pPr>
    </w:p>
    <w:tbl>
      <w:tblPr>
        <w:tblStyle w:val="TableGrid"/>
        <w:tblW w:w="9057" w:type="dxa"/>
        <w:tblInd w:w="-108" w:type="dxa"/>
        <w:tblCellMar>
          <w:top w:w="164" w:type="dxa"/>
          <w:left w:w="108" w:type="dxa"/>
          <w:right w:w="60" w:type="dxa"/>
        </w:tblCellMar>
        <w:tblLook w:val="04A0" w:firstRow="1" w:lastRow="0" w:firstColumn="1" w:lastColumn="0" w:noHBand="0" w:noVBand="1"/>
      </w:tblPr>
      <w:tblGrid>
        <w:gridCol w:w="9057"/>
      </w:tblGrid>
      <w:tr w:rsidR="00DA0FF4">
        <w:trPr>
          <w:trHeight w:val="7545"/>
        </w:trPr>
        <w:tc>
          <w:tcPr>
            <w:tcW w:w="9057" w:type="dxa"/>
            <w:tcBorders>
              <w:top w:val="single" w:sz="4" w:space="0" w:color="000000"/>
              <w:left w:val="single" w:sz="4" w:space="0" w:color="000000"/>
              <w:bottom w:val="single" w:sz="4" w:space="0" w:color="000000"/>
              <w:right w:val="single" w:sz="4" w:space="0" w:color="000000"/>
            </w:tcBorders>
          </w:tcPr>
          <w:p w:rsidR="00DA0FF4" w:rsidRDefault="00594F2D">
            <w:pPr>
              <w:spacing w:after="137"/>
              <w:ind w:left="358"/>
            </w:pPr>
            <w:r>
              <w:rPr>
                <w:b/>
              </w:rPr>
              <w:t>11.</w:t>
            </w:r>
            <w:r>
              <w:rPr>
                <w:rFonts w:ascii="Arial" w:eastAsia="Arial" w:hAnsi="Arial" w:cs="Arial"/>
                <w:b/>
              </w:rPr>
              <w:t xml:space="preserve"> </w:t>
            </w:r>
            <w:r>
              <w:rPr>
                <w:b/>
              </w:rPr>
              <w:t xml:space="preserve">Metodología </w:t>
            </w:r>
          </w:p>
          <w:p w:rsidR="00DA0FF4" w:rsidRDefault="00594F2D">
            <w:pPr>
              <w:spacing w:line="312" w:lineRule="auto"/>
              <w:jc w:val="both"/>
            </w:pPr>
            <w:r>
              <w:t xml:space="preserve">La metodología que utilizará la asignatura se basará en una concepción integradora entre la teoría y la práctica. </w:t>
            </w:r>
          </w:p>
          <w:p w:rsidR="00DA0FF4" w:rsidRDefault="00594F2D">
            <w:pPr>
              <w:ind w:right="47"/>
              <w:jc w:val="both"/>
            </w:pPr>
            <w:r>
              <w:t xml:space="preserve">La teoría se entregará a través clases expositivas donde el profesor presentará conceptos y aplicaciones, haciendo hincapié en el proceso de aprendizaje proyectual, vinculando el dominio de las formas reales o virtuales con las formas </w:t>
            </w:r>
            <w:proofErr w:type="spellStart"/>
            <w:r>
              <w:t>configurantes</w:t>
            </w:r>
            <w:proofErr w:type="spellEnd"/>
            <w:r>
              <w:t xml:space="preserve"> de la arquitectura, potenciando el desarrollo de la “visión espacial” y contribuyendo en la preparación de la creación arquitectónica. Los contenidos se entregaran gradualmente mediante la resolución de problemas y la formulación de preguntas de dificultad progresiva y el desarrollo de aplicaciones de complejidad exponencial.  En las clases prácticas se realizaran trabajos individuales y grupales que estarán en directa relación con la materia que se esté tratando en las clases teóricas. En ellas los estudiantes recibirán un enunciado (encargo) que deberán resolver, relacionando y aplicando las distintas unidades temáticas. Estos ejercicios se desarrollarán con la guía del equipo docente, y permitirán que el profesor identifique y monitoree el nivel de aprendizaje de los alumnos en la transferencia de conocimientos teóricos a experiencias prácticas y concretas de aplicación. Las actividades se desarrollaran en etapas que permitirán experimentar y ensayar a partir de los resultados obtenidos, estimulando la reflexión  y contribuyendo en el proceso de generación e internalización de competencias como identificar, analizar, comprender, resolver, reconocer, diferenciar, comparar, decidir, aplicar, sintetizar, exponer, transferir y crear para percibir el espacio y representarlo mediante un determinado lenguaje universal que aportarán  al estudiante rigor espacial en el desarrollo de sus diseños. </w:t>
            </w:r>
          </w:p>
        </w:tc>
      </w:tr>
      <w:tr w:rsidR="00DA0FF4" w:rsidTr="00862BD4">
        <w:trPr>
          <w:trHeight w:val="4926"/>
        </w:trPr>
        <w:tc>
          <w:tcPr>
            <w:tcW w:w="9057" w:type="dxa"/>
            <w:tcBorders>
              <w:top w:val="single" w:sz="4" w:space="0" w:color="000000"/>
              <w:left w:val="single" w:sz="4" w:space="0" w:color="000000"/>
              <w:bottom w:val="single" w:sz="4" w:space="0" w:color="000000"/>
              <w:right w:val="single" w:sz="4" w:space="0" w:color="000000"/>
            </w:tcBorders>
          </w:tcPr>
          <w:p w:rsidR="00DA0FF4" w:rsidRDefault="00594F2D">
            <w:pPr>
              <w:spacing w:after="137"/>
              <w:ind w:left="358"/>
            </w:pPr>
            <w:r>
              <w:rPr>
                <w:b/>
              </w:rPr>
              <w:t>12.</w:t>
            </w:r>
            <w:r>
              <w:rPr>
                <w:rFonts w:ascii="Arial" w:eastAsia="Arial" w:hAnsi="Arial" w:cs="Arial"/>
                <w:b/>
              </w:rPr>
              <w:t xml:space="preserve"> </w:t>
            </w:r>
            <w:r>
              <w:rPr>
                <w:b/>
              </w:rPr>
              <w:t xml:space="preserve">Evaluación </w:t>
            </w:r>
          </w:p>
          <w:p w:rsidR="00DA0FF4" w:rsidRDefault="00594F2D">
            <w:pPr>
              <w:spacing w:line="311" w:lineRule="auto"/>
              <w:ind w:right="47"/>
              <w:jc w:val="both"/>
            </w:pPr>
            <w:r>
              <w:t xml:space="preserve">La evaluación se realizará como un proceso sistemático, continuo e integral durante todo el transcurso lectivo y en las diferentes instancias de aprendizaje y estará destinado a establecer en qué medida se han alcanzado los resultados previstos en los objetivos especificados con antelación. Para saber en qué grado son alcanzados los logros de aprendizaje se realizaran evaluaciones formativas y </w:t>
            </w:r>
            <w:proofErr w:type="spellStart"/>
            <w:r>
              <w:t>sumativas</w:t>
            </w:r>
            <w:proofErr w:type="spellEnd"/>
            <w:r>
              <w:t xml:space="preserve">, instrumentos de acción pedagógica que contribuirán con el proceso educativo.  Las evaluaciones formativas estarán comprendidas por sesiones prácticas de carácter individual y grupal que medirán productos y procesos y permitirán verificar el nivel de aprendizaje. Las evaluaciones </w:t>
            </w:r>
            <w:proofErr w:type="spellStart"/>
            <w:r>
              <w:t>sumativas</w:t>
            </w:r>
            <w:proofErr w:type="spellEnd"/>
            <w:r>
              <w:t xml:space="preserve"> serán de carácter individual en instancias parciales y globales, aplicando ejercicios </w:t>
            </w:r>
            <w:proofErr w:type="spellStart"/>
            <w:r>
              <w:t>sumativos</w:t>
            </w:r>
            <w:proofErr w:type="spellEnd"/>
            <w:r>
              <w:t xml:space="preserve"> parciales con una ponderación del 40% y dos pruebas </w:t>
            </w:r>
            <w:proofErr w:type="spellStart"/>
            <w:r>
              <w:t>sumativas</w:t>
            </w:r>
            <w:proofErr w:type="spellEnd"/>
            <w:r>
              <w:t xml:space="preserve"> globales con una ponderación del 30% cada una. </w:t>
            </w:r>
          </w:p>
          <w:p w:rsidR="00DA0FF4" w:rsidRDefault="00594F2D">
            <w:pPr>
              <w:ind w:right="48"/>
              <w:jc w:val="both"/>
            </w:pPr>
            <w:r>
              <w:t xml:space="preserve">Cada uno de estos procedimientos contará con un instrumento (rúbrica) donde estarán definidos los criterios de evaluación. Este documento se entregará de manera oportuna a los estudiantes para su conocimiento. </w:t>
            </w:r>
          </w:p>
        </w:tc>
      </w:tr>
    </w:tbl>
    <w:tbl>
      <w:tblPr>
        <w:tblStyle w:val="TableGrid"/>
        <w:tblpPr w:vertAnchor="page" w:horzAnchor="page" w:tblpX="1594" w:tblpY="1421"/>
        <w:tblOverlap w:val="never"/>
        <w:tblW w:w="9057" w:type="dxa"/>
        <w:tblInd w:w="0" w:type="dxa"/>
        <w:tblCellMar>
          <w:left w:w="108" w:type="dxa"/>
          <w:bottom w:w="8" w:type="dxa"/>
        </w:tblCellMar>
        <w:tblLook w:val="04A0" w:firstRow="1" w:lastRow="0" w:firstColumn="1" w:lastColumn="0" w:noHBand="0" w:noVBand="1"/>
      </w:tblPr>
      <w:tblGrid>
        <w:gridCol w:w="9057"/>
      </w:tblGrid>
      <w:tr w:rsidR="00DA0FF4">
        <w:trPr>
          <w:trHeight w:val="1097"/>
        </w:trPr>
        <w:tc>
          <w:tcPr>
            <w:tcW w:w="9057" w:type="dxa"/>
            <w:tcBorders>
              <w:top w:val="single" w:sz="4" w:space="0" w:color="000000"/>
              <w:left w:val="single" w:sz="4" w:space="0" w:color="000000"/>
              <w:bottom w:val="single" w:sz="4" w:space="0" w:color="000000"/>
              <w:right w:val="single" w:sz="4" w:space="0" w:color="000000"/>
            </w:tcBorders>
            <w:vAlign w:val="center"/>
          </w:tcPr>
          <w:p w:rsidR="00DA0FF4" w:rsidRDefault="00594F2D">
            <w:pPr>
              <w:spacing w:after="121"/>
              <w:ind w:left="358"/>
            </w:pPr>
            <w:r>
              <w:rPr>
                <w:b/>
                <w:sz w:val="24"/>
              </w:rPr>
              <w:lastRenderedPageBreak/>
              <w:t>13.</w:t>
            </w:r>
            <w:r>
              <w:rPr>
                <w:rFonts w:ascii="Arial" w:eastAsia="Arial" w:hAnsi="Arial" w:cs="Arial"/>
                <w:b/>
                <w:sz w:val="24"/>
              </w:rPr>
              <w:t xml:space="preserve"> </w:t>
            </w:r>
            <w:r>
              <w:rPr>
                <w:b/>
                <w:sz w:val="24"/>
              </w:rPr>
              <w:t xml:space="preserve">Requisitos de aprobación </w:t>
            </w:r>
          </w:p>
          <w:p w:rsidR="00DA0FF4" w:rsidRDefault="00594F2D">
            <w:pPr>
              <w:ind w:left="708"/>
            </w:pPr>
            <w:r>
              <w:t xml:space="preserve"> </w:t>
            </w:r>
          </w:p>
        </w:tc>
      </w:tr>
      <w:tr w:rsidR="00DA0FF4">
        <w:trPr>
          <w:trHeight w:val="4371"/>
        </w:trPr>
        <w:tc>
          <w:tcPr>
            <w:tcW w:w="9057" w:type="dxa"/>
            <w:tcBorders>
              <w:top w:val="single" w:sz="4" w:space="0" w:color="000000"/>
              <w:left w:val="single" w:sz="4" w:space="0" w:color="000000"/>
              <w:bottom w:val="dashed" w:sz="4" w:space="0" w:color="000000"/>
              <w:right w:val="single" w:sz="4" w:space="0" w:color="000000"/>
            </w:tcBorders>
            <w:vAlign w:val="bottom"/>
          </w:tcPr>
          <w:p w:rsidR="00DA0FF4" w:rsidRDefault="00594F2D">
            <w:pPr>
              <w:spacing w:after="121"/>
              <w:ind w:left="358"/>
            </w:pPr>
            <w:r>
              <w:rPr>
                <w:b/>
                <w:sz w:val="24"/>
              </w:rPr>
              <w:t>14.</w:t>
            </w:r>
            <w:r>
              <w:rPr>
                <w:rFonts w:ascii="Arial" w:eastAsia="Arial" w:hAnsi="Arial" w:cs="Arial"/>
                <w:b/>
                <w:sz w:val="24"/>
              </w:rPr>
              <w:t xml:space="preserve"> </w:t>
            </w:r>
            <w:r>
              <w:rPr>
                <w:b/>
                <w:sz w:val="24"/>
              </w:rPr>
              <w:t xml:space="preserve">Bibliografía obligatoria (no más de 5 textos)  </w:t>
            </w:r>
          </w:p>
          <w:p w:rsidR="00DA0FF4" w:rsidRDefault="00662403">
            <w:pPr>
              <w:spacing w:after="2" w:line="237" w:lineRule="auto"/>
              <w:jc w:val="both"/>
            </w:pPr>
            <w:hyperlink r:id="rId7">
              <w:r w:rsidR="00594F2D">
                <w:t>Alsina</w:t>
              </w:r>
            </w:hyperlink>
            <w:hyperlink r:id="rId8">
              <w:r w:rsidR="00594F2D">
                <w:t>,</w:t>
              </w:r>
            </w:hyperlink>
            <w:r w:rsidR="00594F2D">
              <w:t xml:space="preserve"> </w:t>
            </w:r>
            <w:proofErr w:type="spellStart"/>
            <w:r w:rsidR="00594F2D">
              <w:t>Claudi</w:t>
            </w:r>
            <w:proofErr w:type="spellEnd"/>
            <w:r w:rsidR="00594F2D">
              <w:t xml:space="preserve">; </w:t>
            </w:r>
            <w:hyperlink r:id="rId9">
              <w:r w:rsidR="00594F2D">
                <w:t>Trillas</w:t>
              </w:r>
            </w:hyperlink>
            <w:hyperlink r:id="rId10">
              <w:r w:rsidR="00594F2D">
                <w:t xml:space="preserve"> </w:t>
              </w:r>
            </w:hyperlink>
            <w:proofErr w:type="spellStart"/>
            <w:r w:rsidR="00594F2D">
              <w:t>Enric</w:t>
            </w:r>
            <w:proofErr w:type="spellEnd"/>
            <w:r w:rsidR="00594F2D">
              <w:t xml:space="preserve">. (1995) Lecciones de Algebra y Geometría. 7ª Ed. Barcelona, España. Gustavo </w:t>
            </w:r>
            <w:proofErr w:type="spellStart"/>
            <w:r w:rsidR="00594F2D">
              <w:t>Gilli</w:t>
            </w:r>
            <w:proofErr w:type="spellEnd"/>
            <w:r w:rsidR="00594F2D">
              <w:t xml:space="preserve">   ISBN: 978-8425211874 </w:t>
            </w:r>
          </w:p>
          <w:p w:rsidR="00DA0FF4" w:rsidRDefault="00594F2D">
            <w:r>
              <w:t xml:space="preserve"> </w:t>
            </w:r>
          </w:p>
          <w:p w:rsidR="00DA0FF4" w:rsidRDefault="00594F2D">
            <w:pPr>
              <w:spacing w:line="239" w:lineRule="auto"/>
              <w:jc w:val="both"/>
            </w:pPr>
            <w:r>
              <w:t>Bargueño, Eugenio;</w:t>
            </w:r>
            <w:hyperlink r:id="rId11">
              <w:r>
                <w:t xml:space="preserve"> </w:t>
              </w:r>
            </w:hyperlink>
            <w:hyperlink r:id="rId12">
              <w:r>
                <w:t>Calvo</w:t>
              </w:r>
            </w:hyperlink>
            <w:hyperlink r:id="rId13">
              <w:r>
                <w:t>,</w:t>
              </w:r>
            </w:hyperlink>
            <w:r>
              <w:t xml:space="preserve"> </w:t>
            </w:r>
            <w:proofErr w:type="spellStart"/>
            <w:r>
              <w:t>Sofia</w:t>
            </w:r>
            <w:proofErr w:type="spellEnd"/>
            <w:r>
              <w:t xml:space="preserve">; Díaz, Calvo. (1997) Dibujo Técnico. Madrid, España. Mc Graw Hill   ISBN: 84-481-0948-1 </w:t>
            </w:r>
          </w:p>
          <w:p w:rsidR="00DA0FF4" w:rsidRDefault="00594F2D">
            <w:r>
              <w:t xml:space="preserve"> </w:t>
            </w:r>
          </w:p>
          <w:p w:rsidR="00DA0FF4" w:rsidRDefault="00594F2D">
            <w:pPr>
              <w:spacing w:after="194" w:line="278" w:lineRule="auto"/>
              <w:jc w:val="both"/>
            </w:pPr>
            <w:r>
              <w:t xml:space="preserve">Izquierdo </w:t>
            </w:r>
            <w:proofErr w:type="spellStart"/>
            <w:r>
              <w:t>Asensi</w:t>
            </w:r>
            <w:proofErr w:type="spellEnd"/>
            <w:r>
              <w:t xml:space="preserve">, Fernando. (1999). Geometría Descriptiva Superior y Aplicada. 5ª Ed. Madrid, España. Paraninfo. ISBN: 84-922109-4-X </w:t>
            </w:r>
          </w:p>
          <w:p w:rsidR="00DA0FF4" w:rsidRDefault="00594F2D">
            <w:pPr>
              <w:spacing w:after="19"/>
            </w:pPr>
            <w:r>
              <w:t xml:space="preserve">Izquierdo </w:t>
            </w:r>
            <w:proofErr w:type="spellStart"/>
            <w:r>
              <w:t>Asensi</w:t>
            </w:r>
            <w:proofErr w:type="spellEnd"/>
            <w:r>
              <w:t xml:space="preserve">, Fernando. (2000). Geometría Descriptiva. 24ª Ed. Madrid, España. Paraninfo. </w:t>
            </w:r>
          </w:p>
          <w:p w:rsidR="00DA0FF4" w:rsidRDefault="00594F2D">
            <w:pPr>
              <w:spacing w:after="215"/>
            </w:pPr>
            <w:r>
              <w:t xml:space="preserve">ISBN: 84-922109-5-8 </w:t>
            </w:r>
          </w:p>
          <w:p w:rsidR="00DA0FF4" w:rsidRDefault="00662403">
            <w:hyperlink r:id="rId14">
              <w:r w:rsidR="00594F2D">
                <w:t>Valenzuela</w:t>
              </w:r>
            </w:hyperlink>
            <w:hyperlink r:id="rId15">
              <w:r w:rsidR="00594F2D">
                <w:t xml:space="preserve"> </w:t>
              </w:r>
            </w:hyperlink>
            <w:r w:rsidR="00594F2D">
              <w:t xml:space="preserve">Vargas, Marcelo. (   ) Apuntes de Geometría. Santiago, Chile. Imprenta FAU ISBN:  </w:t>
            </w:r>
          </w:p>
          <w:p w:rsidR="00DA0FF4" w:rsidRDefault="00594F2D">
            <w:r>
              <w:t xml:space="preserve"> </w:t>
            </w:r>
          </w:p>
        </w:tc>
      </w:tr>
      <w:tr w:rsidR="00DA0FF4">
        <w:trPr>
          <w:trHeight w:val="1404"/>
        </w:trPr>
        <w:tc>
          <w:tcPr>
            <w:tcW w:w="9057" w:type="dxa"/>
            <w:tcBorders>
              <w:top w:val="dashed" w:sz="4" w:space="0" w:color="000000"/>
              <w:left w:val="single" w:sz="4" w:space="0" w:color="000000"/>
              <w:bottom w:val="dashed" w:sz="4" w:space="0" w:color="000000"/>
              <w:right w:val="single" w:sz="4" w:space="0" w:color="000000"/>
            </w:tcBorders>
            <w:vAlign w:val="center"/>
          </w:tcPr>
          <w:p w:rsidR="00DA0FF4" w:rsidRDefault="00594F2D">
            <w:pPr>
              <w:spacing w:after="120"/>
              <w:ind w:left="708"/>
            </w:pPr>
            <w:r>
              <w:rPr>
                <w:b/>
                <w:sz w:val="24"/>
              </w:rPr>
              <w:t xml:space="preserve">Bibliografía complementaria </w:t>
            </w:r>
          </w:p>
          <w:p w:rsidR="00DA0FF4" w:rsidRDefault="00594F2D">
            <w:pPr>
              <w:spacing w:after="19"/>
            </w:pPr>
            <w:r>
              <w:t xml:space="preserve">Izquierdo </w:t>
            </w:r>
            <w:proofErr w:type="spellStart"/>
            <w:r>
              <w:t>Asensi</w:t>
            </w:r>
            <w:proofErr w:type="spellEnd"/>
            <w:r>
              <w:t xml:space="preserve">, Fernando. (1994). Ejercicios de Geometría Descriptiva I: Sistema </w:t>
            </w:r>
            <w:proofErr w:type="spellStart"/>
            <w:r>
              <w:t>Diédrico</w:t>
            </w:r>
            <w:proofErr w:type="spellEnd"/>
            <w:r>
              <w:t xml:space="preserve">. 13ª Ed. </w:t>
            </w:r>
          </w:p>
          <w:p w:rsidR="00DA0FF4" w:rsidRDefault="00594F2D">
            <w:r>
              <w:t xml:space="preserve">Madrid, España. Paraninfo. ISBN: 84-237-0801-2 </w:t>
            </w:r>
          </w:p>
        </w:tc>
      </w:tr>
      <w:tr w:rsidR="00DA0FF4">
        <w:trPr>
          <w:trHeight w:val="1097"/>
        </w:trPr>
        <w:tc>
          <w:tcPr>
            <w:tcW w:w="9057" w:type="dxa"/>
            <w:tcBorders>
              <w:top w:val="dashed" w:sz="4" w:space="0" w:color="000000"/>
              <w:left w:val="single" w:sz="4" w:space="0" w:color="000000"/>
              <w:bottom w:val="single" w:sz="4" w:space="0" w:color="000000"/>
              <w:right w:val="single" w:sz="4" w:space="0" w:color="000000"/>
            </w:tcBorders>
            <w:vAlign w:val="center"/>
          </w:tcPr>
          <w:p w:rsidR="00DA0FF4" w:rsidRDefault="00594F2D">
            <w:pPr>
              <w:spacing w:after="120"/>
              <w:ind w:left="708"/>
            </w:pPr>
            <w:r>
              <w:rPr>
                <w:b/>
                <w:sz w:val="24"/>
              </w:rPr>
              <w:t xml:space="preserve">Recursos web  </w:t>
            </w:r>
          </w:p>
          <w:p w:rsidR="00DA0FF4" w:rsidRDefault="00594F2D">
            <w:pPr>
              <w:ind w:left="708"/>
            </w:pPr>
            <w:r>
              <w:t xml:space="preserve"> </w:t>
            </w:r>
          </w:p>
        </w:tc>
      </w:tr>
    </w:tbl>
    <w:p w:rsidR="00DA0FF4" w:rsidRDefault="00594F2D">
      <w:pPr>
        <w:spacing w:after="0"/>
        <w:ind w:left="4419"/>
        <w:jc w:val="both"/>
      </w:pPr>
      <w:r>
        <w:t xml:space="preserve"> </w:t>
      </w:r>
    </w:p>
    <w:sectPr w:rsidR="00DA0FF4" w:rsidSect="00862BD4">
      <w:footnotePr>
        <w:numRestart w:val="eachPage"/>
      </w:footnotePr>
      <w:pgSz w:w="12240" w:h="15840"/>
      <w:pgMar w:top="1304" w:right="1361" w:bottom="124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03" w:rsidRDefault="00662403">
      <w:pPr>
        <w:spacing w:after="0" w:line="240" w:lineRule="auto"/>
      </w:pPr>
      <w:r>
        <w:separator/>
      </w:r>
    </w:p>
  </w:endnote>
  <w:endnote w:type="continuationSeparator" w:id="0">
    <w:p w:rsidR="00662403" w:rsidRDefault="0066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03" w:rsidRDefault="00662403">
      <w:pPr>
        <w:spacing w:after="0" w:line="251" w:lineRule="auto"/>
      </w:pPr>
      <w:r>
        <w:separator/>
      </w:r>
    </w:p>
  </w:footnote>
  <w:footnote w:type="continuationSeparator" w:id="0">
    <w:p w:rsidR="00662403" w:rsidRDefault="00662403">
      <w:pPr>
        <w:spacing w:after="0" w:line="251" w:lineRule="auto"/>
      </w:pPr>
      <w:r>
        <w:continuationSeparator/>
      </w:r>
    </w:p>
  </w:footnote>
  <w:footnote w:id="1">
    <w:p w:rsidR="00DA0FF4" w:rsidRDefault="00594F2D">
      <w:pPr>
        <w:pStyle w:val="footnotedescription"/>
        <w:spacing w:line="251" w:lineRule="auto"/>
      </w:pPr>
      <w:r>
        <w:rPr>
          <w:rStyle w:val="footnotemark"/>
        </w:rPr>
        <w:footnoteRef/>
      </w:r>
      <w:r>
        <w:t xml:space="preserve"> Instanciar: forma que tendrán los objetos empleados por nuestra aplicación / objeto escogido de una clase específica </w:t>
      </w:r>
    </w:p>
  </w:footnote>
  <w:footnote w:id="2">
    <w:p w:rsidR="00DA0FF4" w:rsidRDefault="00594F2D">
      <w:pPr>
        <w:pStyle w:val="footnotedescription"/>
      </w:pPr>
      <w:r>
        <w:rPr>
          <w:rStyle w:val="footnotemark"/>
        </w:rPr>
        <w:footnoteRef/>
      </w:r>
      <w:r>
        <w:t xml:space="preserve"> Visualizar: observación crítica del objeto para la retroalimentación</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26481"/>
    <w:multiLevelType w:val="hybridMultilevel"/>
    <w:tmpl w:val="D7F8E03A"/>
    <w:lvl w:ilvl="0" w:tplc="A39E777C">
      <w:start w:val="1"/>
      <w:numFmt w:val="decimal"/>
      <w:lvlText w:val="%1."/>
      <w:lvlJc w:val="left"/>
      <w:pPr>
        <w:ind w:left="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C84EFE">
      <w:start w:val="1"/>
      <w:numFmt w:val="lowerLetter"/>
      <w:lvlText w:val="%2"/>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D61ED4">
      <w:start w:val="1"/>
      <w:numFmt w:val="lowerRoman"/>
      <w:lvlText w:val="%3"/>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C23F9C">
      <w:start w:val="1"/>
      <w:numFmt w:val="decimal"/>
      <w:lvlText w:val="%4"/>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3E6178">
      <w:start w:val="1"/>
      <w:numFmt w:val="lowerLetter"/>
      <w:lvlText w:val="%5"/>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CE68BE">
      <w:start w:val="1"/>
      <w:numFmt w:val="lowerRoman"/>
      <w:lvlText w:val="%6"/>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CA1EDE">
      <w:start w:val="1"/>
      <w:numFmt w:val="decimal"/>
      <w:lvlText w:val="%7"/>
      <w:lvlJc w:val="left"/>
      <w:pPr>
        <w:ind w:left="5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14FF3A">
      <w:start w:val="1"/>
      <w:numFmt w:val="lowerLetter"/>
      <w:lvlText w:val="%8"/>
      <w:lvlJc w:val="left"/>
      <w:pPr>
        <w:ind w:left="6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B0C1E8">
      <w:start w:val="1"/>
      <w:numFmt w:val="lowerRoman"/>
      <w:lvlText w:val="%9"/>
      <w:lvlJc w:val="left"/>
      <w:pPr>
        <w:ind w:left="6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FA5D68"/>
    <w:multiLevelType w:val="hybridMultilevel"/>
    <w:tmpl w:val="6D12D8B4"/>
    <w:lvl w:ilvl="0" w:tplc="0290938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80B72">
      <w:start w:val="1"/>
      <w:numFmt w:val="bullet"/>
      <w:lvlText w:val="o"/>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3AAB98">
      <w:start w:val="1"/>
      <w:numFmt w:val="bullet"/>
      <w:lvlRestart w:val="0"/>
      <w:lvlText w:val="-"/>
      <w:lvlJc w:val="left"/>
      <w:pPr>
        <w:ind w:left="1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541764">
      <w:start w:val="1"/>
      <w:numFmt w:val="bullet"/>
      <w:lvlText w:val="•"/>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D2B94E">
      <w:start w:val="1"/>
      <w:numFmt w:val="bullet"/>
      <w:lvlText w:val="o"/>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F2127E">
      <w:start w:val="1"/>
      <w:numFmt w:val="bullet"/>
      <w:lvlText w:val="▪"/>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D668CC">
      <w:start w:val="1"/>
      <w:numFmt w:val="bullet"/>
      <w:lvlText w:val="•"/>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7CDD08">
      <w:start w:val="1"/>
      <w:numFmt w:val="bullet"/>
      <w:lvlText w:val="o"/>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EED57C">
      <w:start w:val="1"/>
      <w:numFmt w:val="bullet"/>
      <w:lvlText w:val="▪"/>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F4"/>
    <w:rsid w:val="001148CF"/>
    <w:rsid w:val="00594F2D"/>
    <w:rsid w:val="005F7195"/>
    <w:rsid w:val="00662403"/>
    <w:rsid w:val="00862BD4"/>
    <w:rsid w:val="00B6083E"/>
    <w:rsid w:val="00DA0FF4"/>
    <w:rsid w:val="00E664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0562"/>
  <w15:docId w15:val="{FFB6E724-B73C-4546-8A0A-A9BA1FEC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sadellibro.com/libros-ebooks/claudi-alsina/157100" TargetMode="External"/><Relationship Id="rId13" Type="http://schemas.openxmlformats.org/officeDocument/2006/relationships/hyperlink" Target="http://www.casadellibro.com/libros-ebooks/enric-trillas/82417" TargetMode="External"/><Relationship Id="rId3" Type="http://schemas.openxmlformats.org/officeDocument/2006/relationships/settings" Target="settings.xml"/><Relationship Id="rId7" Type="http://schemas.openxmlformats.org/officeDocument/2006/relationships/hyperlink" Target="http://www.casadellibro.com/libros-ebooks/claudi-alsina/157100" TargetMode="External"/><Relationship Id="rId12" Type="http://schemas.openxmlformats.org/officeDocument/2006/relationships/hyperlink" Target="http://www.casadellibro.com/libros-ebooks/enric-trillas/824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adellibro.com/libros-ebooks/enric-trillas/82417" TargetMode="External"/><Relationship Id="rId5" Type="http://schemas.openxmlformats.org/officeDocument/2006/relationships/footnotes" Target="footnotes.xml"/><Relationship Id="rId15" Type="http://schemas.openxmlformats.org/officeDocument/2006/relationships/hyperlink" Target="http://www.casadellibro.com/libros-ebooks/claudi-alsina/157100" TargetMode="External"/><Relationship Id="rId10" Type="http://schemas.openxmlformats.org/officeDocument/2006/relationships/hyperlink" Target="http://www.casadellibro.com/libros-ebooks/enric-trillas/82417" TargetMode="External"/><Relationship Id="rId4" Type="http://schemas.openxmlformats.org/officeDocument/2006/relationships/webSettings" Target="webSettings.xml"/><Relationship Id="rId9" Type="http://schemas.openxmlformats.org/officeDocument/2006/relationships/hyperlink" Target="http://www.casadellibro.com/libros-ebooks/enric-trillas/82417" TargetMode="External"/><Relationship Id="rId14" Type="http://schemas.openxmlformats.org/officeDocument/2006/relationships/hyperlink" Target="http://www.casadellibro.com/libros-ebooks/claudi-alsina/1571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Moraga</dc:creator>
  <cp:keywords/>
  <cp:lastModifiedBy>Ester Concepcion Turu Mayol (eturu)</cp:lastModifiedBy>
  <cp:revision>2</cp:revision>
  <dcterms:created xsi:type="dcterms:W3CDTF">2019-07-17T12:56:00Z</dcterms:created>
  <dcterms:modified xsi:type="dcterms:W3CDTF">2019-07-17T12:56:00Z</dcterms:modified>
</cp:coreProperties>
</file>