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2694"/>
        <w:gridCol w:w="2126"/>
        <w:gridCol w:w="425"/>
        <w:gridCol w:w="709"/>
        <w:gridCol w:w="1858"/>
        <w:tblGridChange w:id="0">
          <w:tblGrid>
            <w:gridCol w:w="1242"/>
            <w:gridCol w:w="2694"/>
            <w:gridCol w:w="2126"/>
            <w:gridCol w:w="425"/>
            <w:gridCol w:w="709"/>
            <w:gridCol w:w="1858"/>
          </w:tblGrid>
        </w:tblGridChange>
      </w:tblGrid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1">
            <w:pPr>
              <w:spacing w:after="120" w:before="120" w:lineRule="auto"/>
              <w:contextualSpacing w:val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PROGRAMA DE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CARRERA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Arquitectura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120" w:before="120" w:lineRule="auto"/>
              <w:ind w:left="714" w:hanging="357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ARQUITECTURA Y SISMO</w:t>
            </w:r>
          </w:p>
        </w:tc>
      </w:tr>
      <w:tr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left="720"/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 en inglés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ARCHITECTURE AND EARTHQUAKE</w:t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120" w:before="120" w:lineRule="auto"/>
              <w:ind w:left="714" w:hanging="357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Palabras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720"/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after="120" w:before="120" w:lineRule="auto"/>
              <w:ind w:left="714" w:hanging="357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Unidad Académica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Departamento de Arquitectura</w:t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after="120" w:before="120" w:lineRule="auto"/>
              <w:ind w:left="714" w:hanging="357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Ámbito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 Diagnosticar campos de acción</w:t>
            </w:r>
          </w:p>
          <w:p w:rsidR="00000000" w:rsidDel="00000000" w:rsidP="00000000" w:rsidRDefault="00000000" w:rsidRPr="00000000" w14:paraId="0000002B">
            <w:pPr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II. Planificar el medio y diseñar el espacio habitable </w:t>
            </w:r>
          </w:p>
        </w:tc>
      </w:tr>
      <w:tr>
        <w:trPr>
          <w:trHeight w:val="60" w:hRule="atLeast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after="120" w:before="120" w:line="240" w:lineRule="auto"/>
              <w:ind w:left="714" w:hanging="357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Número de Créditos SCT - Chile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720"/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 (4,5 horas/semana)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4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Horas directas (presencial)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Horas indirectas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(no presencial)</w:t>
            </w:r>
          </w:p>
        </w:tc>
      </w:tr>
      <w:tr>
        <w:trPr>
          <w:trHeight w:val="560" w:hRule="atLeast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120" w:before="120" w:lineRule="auto"/>
              <w:contextualSpacing w:val="0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120" w:before="120" w:lineRule="auto"/>
              <w:contextualSpacing w:val="0"/>
              <w:rPr>
                <w:highlight w:val="yellow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after="120" w:before="120" w:lineRule="auto"/>
              <w:ind w:left="714" w:hanging="357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120" w:before="12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Taller 4 + Diseño y materialización 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after="120" w:before="120" w:lineRule="auto"/>
              <w:ind w:left="714" w:hanging="357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Propósito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120" w:line="24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Habilitar al estudiante para proponer soluciones estructurales a los proyectos arquitectónicos y urbanos en concordancia con los requisitos sísmicos del país.</w:t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spacing w:after="120" w:before="120" w:lineRule="auto"/>
              <w:ind w:left="714" w:hanging="357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Competencias y subcompetencias a las que contribuye el 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20" w:line="240" w:lineRule="auto"/>
              <w:ind w:left="357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I.4 Formular una síntesis interpretativa de manera autónoma que genere criterios de acción para propuesta, a través de la selección crítica de variables relevantes y el aporte del caudal y creatividad propias, que recoja la problematización realizada, expresada a través de los medios arquitectónicos pertinentes y comprensibles. </w:t>
            </w:r>
          </w:p>
          <w:p w:rsidR="00000000" w:rsidDel="00000000" w:rsidP="00000000" w:rsidRDefault="00000000" w:rsidRPr="00000000" w14:paraId="0000004D">
            <w:pPr>
              <w:spacing w:after="120" w:line="240" w:lineRule="auto"/>
              <w:ind w:left="1418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I.4.a Evaluando técnicamente el problema, teniendo en cuenta integralmente las cualidades materiales, estructurales, de recursos,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medioambientales y de pertinencia histórica, cultural y social. </w:t>
            </w:r>
          </w:p>
          <w:p w:rsidR="00000000" w:rsidDel="00000000" w:rsidP="00000000" w:rsidRDefault="00000000" w:rsidRPr="00000000" w14:paraId="0000004E">
            <w:pPr>
              <w:spacing w:after="120" w:line="240" w:lineRule="auto"/>
              <w:ind w:left="1418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I.4.b Estableciendo los requerimientos programáticos del problema tanto en términos de espacio, metros cuadrados, funciones y relaciones etc., como en términos de su sentido respecto del total como criterio de acción para el proyecto. </w:t>
            </w:r>
          </w:p>
          <w:p w:rsidR="00000000" w:rsidDel="00000000" w:rsidP="00000000" w:rsidRDefault="00000000" w:rsidRPr="00000000" w14:paraId="0000004F">
            <w:pPr>
              <w:spacing w:after="120" w:line="240" w:lineRule="auto"/>
              <w:ind w:left="1418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I.4.c Vinculando los factores analizados del problema con soluciones consistentes a las demandas propias disciplinares, del mandante y/o usuario y del marco teórico. </w:t>
            </w:r>
          </w:p>
          <w:p w:rsidR="00000000" w:rsidDel="00000000" w:rsidP="00000000" w:rsidRDefault="00000000" w:rsidRPr="00000000" w14:paraId="00000050">
            <w:pPr>
              <w:spacing w:after="120" w:line="240" w:lineRule="auto"/>
              <w:ind w:left="1418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I.4.d Seleccionando y haciendo explícitas las principales variables en una lectura diagnóstica interpretativa innovadora, personal o grupal, que considere los aspectos anteriores y la relación entre lo local y lo global.</w:t>
            </w:r>
          </w:p>
          <w:p w:rsidR="00000000" w:rsidDel="00000000" w:rsidP="00000000" w:rsidRDefault="00000000" w:rsidRPr="00000000" w14:paraId="00000051">
            <w:pPr>
              <w:spacing w:after="120" w:line="240" w:lineRule="auto"/>
              <w:ind w:left="1418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I.4.e Comunicando la síntesis interpretativa a través de medios de representación arquitectónicos, escritos y verbales, de manera efectiva y con rigor disciplinar.</w:t>
            </w:r>
          </w:p>
          <w:p w:rsidR="00000000" w:rsidDel="00000000" w:rsidP="00000000" w:rsidRDefault="00000000" w:rsidRPr="00000000" w14:paraId="00000052">
            <w:pPr>
              <w:spacing w:after="120" w:line="240" w:lineRule="auto"/>
              <w:ind w:left="357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II.2 Evaluar y seleccionar dentro de las propuestas de configuraciones, aquella más pertinente, de manera crítica incorporando progresiva y recursivamente los criterios, desde lo conceptual a lo concreto. </w:t>
            </w:r>
          </w:p>
          <w:p w:rsidR="00000000" w:rsidDel="00000000" w:rsidP="00000000" w:rsidRDefault="00000000" w:rsidRPr="00000000" w14:paraId="00000053">
            <w:pPr>
              <w:spacing w:after="120" w:line="240" w:lineRule="auto"/>
              <w:ind w:left="1418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II.2.d Seleccionando una propuesta de configuración coherente con el análisis precedente. </w:t>
            </w:r>
          </w:p>
          <w:p w:rsidR="00000000" w:rsidDel="00000000" w:rsidP="00000000" w:rsidRDefault="00000000" w:rsidRPr="00000000" w14:paraId="00000054">
            <w:pPr>
              <w:spacing w:after="120" w:line="240" w:lineRule="auto"/>
              <w:ind w:left="357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II.3 Diseñar autónomamente una propuesta arquitectónica y/o urbana desde la mirada sustentable, integrando relaciones espaciales, programáticas, de contexto, tecnológicas y estéticas de manera innovadora, para satisfacer la idea, considerando al hombre como protagonista. </w:t>
            </w:r>
          </w:p>
          <w:p w:rsidR="00000000" w:rsidDel="00000000" w:rsidP="00000000" w:rsidRDefault="00000000" w:rsidRPr="00000000" w14:paraId="00000055">
            <w:pPr>
              <w:spacing w:after="120" w:line="240" w:lineRule="auto"/>
              <w:ind w:left="1418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II.3.d Evaluando de manera crítica sistemas constructivos, estructurales y tecnologías asociadas a la producción y materialización del proyecto, seleccionando la más adecuada a éste. </w:t>
            </w:r>
          </w:p>
          <w:p w:rsidR="00000000" w:rsidDel="00000000" w:rsidP="00000000" w:rsidRDefault="00000000" w:rsidRPr="00000000" w14:paraId="00000056">
            <w:pPr>
              <w:spacing w:after="120" w:line="240" w:lineRule="auto"/>
              <w:ind w:left="1418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II.3.e Conciliando de manera sostenible los aspectos programáticos, de uso, estético perceptuales, técnicos, culturales u otras pertinentes a la propuesta arquitectónica.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after="120" w:before="120" w:lineRule="auto"/>
              <w:ind w:left="714" w:hanging="357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Resultados de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 Distingue factores de incidencia del sismo en la arquitectura para integrarlos en la propuesta de modelos constructivos y estructurales.</w:t>
            </w:r>
          </w:p>
          <w:p w:rsidR="00000000" w:rsidDel="00000000" w:rsidP="00000000" w:rsidRDefault="00000000" w:rsidRPr="00000000" w14:paraId="0000005E">
            <w:pPr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 Evalúa el comportamiento de los modelos constructivos y estructurales en atención a la variable sísmica para definir criterios de diseño arquitectónico y/o urbano.</w:t>
            </w:r>
          </w:p>
          <w:p w:rsidR="00000000" w:rsidDel="00000000" w:rsidP="00000000" w:rsidRDefault="00000000" w:rsidRPr="00000000" w14:paraId="0000005F">
            <w:pPr>
              <w:ind w:left="709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3. Diseña un modelo constructivo y estructural concordante con los requerimientos sísmicos para generar una propuesta arquitectónico y/o urbana integral.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pacing w:after="120" w:before="120" w:lineRule="auto"/>
              <w:ind w:left="720" w:hanging="36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Saberes fundamentales / Contenidos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 Origen, características e impacto de los sismos.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1418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I.1 Causas: volcánico, tectónico, deslizamientos.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1418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I.2 Características: Hipocentro, foco, epicentro, ondas.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1418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I.3 Escalas de medición.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1418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I.4 Efectos de los sismos y sus consecuencias en la arquitectura.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1418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I.5 Historia sísmica del planeta y Chile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II. Diseño de edificios sismorresistentes.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1418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II.1 Configuración en edificios y respuesta ante el sismo: escala, simetría, altura, extensión en planta, distribución y concentración de masas, densidad de estructura en planta, rigidez.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1418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II.2 Estrategias de estructuración sismorresistente: Por resistencia, por ductilidad, por disipación.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III. Reglamentación y disposiciones legales.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1418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III.1 OGUC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1418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III.2 Normas técnicas MINVU.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1418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III.3 Normas Chilenas INN (diseño sismorresistente, edificios industriales, aisladores sísmicos, elementos no estructurales, patrimonio tierra).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IV. Equilibrio de fundaciones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left="1418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IV.1 Clasificación sísmica de los suelos de fundación.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left="1418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IV.2 Tipología y diseño de fundaciones.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left="1418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IV.3 Contenciones.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spacing w:after="120" w:before="120" w:lineRule="auto"/>
              <w:ind w:left="720" w:hanging="36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Metodología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120" w:before="120" w:lineRule="auto"/>
              <w:ind w:left="714" w:right="191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metodología que se utilizará en este curso será una combinación de: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spacing w:after="120" w:before="120" w:lineRule="auto"/>
              <w:ind w:left="1074" w:hanging="360"/>
              <w:contextualSpacing w:val="0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Sesiones expositivas que favorecen la comprensión de los contenidos teóricos.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spacing w:after="120" w:before="120" w:lineRule="auto"/>
              <w:ind w:left="1074" w:hanging="360"/>
              <w:contextualSpacing w:val="0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Trabajos colaborativos en grupos de 3 ó 4 estudiantes destinados a resolver problemas relacionados a los contenidos de las diferentes unidades. 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spacing w:after="120" w:before="120" w:lineRule="auto"/>
              <w:ind w:left="1074" w:hanging="36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Discusiones guiadas como cierre de cada unidad teniendo como base pruebas de semestres anteriores.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numPr>
                <w:ilvl w:val="0"/>
                <w:numId w:val="2"/>
              </w:numPr>
              <w:spacing w:after="120" w:before="120" w:lineRule="auto"/>
              <w:ind w:left="720" w:hanging="36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Evaluación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120" w:before="120" w:lineRule="auto"/>
              <w:ind w:left="714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evaluación de los resultados de aprendizaje de esta actividad curricular se realizará mediante la ponderación de: 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after="120" w:before="120" w:lineRule="auto"/>
              <w:ind w:left="1074" w:hanging="360"/>
              <w:contextualSpacing w:val="0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Dos pruebas de desarrollo, individuales y sumativas al término de cada unidad.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after="120" w:before="120" w:lineRule="auto"/>
              <w:ind w:left="1074" w:hanging="36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Entrega de los informes correspondientes a los trabajos colaborativos.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spacing w:after="120" w:before="120" w:lineRule="auto"/>
              <w:ind w:left="714" w:hanging="357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Requisitos de aprobación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numPr>
                <w:ilvl w:val="0"/>
                <w:numId w:val="2"/>
              </w:numPr>
              <w:spacing w:after="120" w:before="120" w:lineRule="auto"/>
              <w:ind w:left="714" w:hanging="357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Bibliografía obligatoria (no más de 5 textos)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hd w:fill="ffffff" w:val="clear"/>
              <w:spacing w:after="315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Arnold, C.,</w:t>
            </w:r>
            <w:hyperlink r:id="rId6">
              <w:r w:rsidDel="00000000" w:rsidR="00000000" w:rsidRPr="00000000">
                <w:rPr>
                  <w:vertAlign w:val="baseline"/>
                  <w:rtl w:val="0"/>
                </w:rPr>
                <w:t xml:space="preserve"> Reitherman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, R. 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Building configuration and seismic design (Configuración y diseño sísmico de edificios).</w:t>
            </w:r>
            <w:r w:rsidDel="00000000" w:rsidR="00000000" w:rsidRPr="00000000">
              <w:rPr>
                <w:vertAlign w:val="baseline"/>
                <w:rtl w:val="0"/>
              </w:rPr>
              <w:t xml:space="preserve"> Ed. Wiley, 1982 ISBN 0471861383, 9780471861386</w:t>
            </w:r>
          </w:p>
          <w:p w:rsidR="00000000" w:rsidDel="00000000" w:rsidP="00000000" w:rsidRDefault="00000000" w:rsidRPr="00000000" w14:paraId="00000098">
            <w:pPr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Muñoz M., Harold A. (2002) Concepción y Comportamiento de las Edificaciones. Bogotá, Colombia. Ed. Asocreto  ISBN: 958-96709-8-9</w:t>
            </w:r>
          </w:p>
          <w:p w:rsidR="00000000" w:rsidDel="00000000" w:rsidP="00000000" w:rsidRDefault="00000000" w:rsidRPr="00000000" w14:paraId="00000099">
            <w:pPr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Perles, Pedro. (2012) Temas de Estructuras Especiales. 2ª Edición. Buenos Aires, Argentina. Ed. Nobuko  ISBN: 978-987-584-429-2</w:t>
            </w:r>
          </w:p>
          <w:p w:rsidR="00000000" w:rsidDel="00000000" w:rsidP="00000000" w:rsidRDefault="00000000" w:rsidRPr="00000000" w14:paraId="0000009A">
            <w:pPr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Das, Brajas M. (2001) Principios de Ingeniería de Cimentaciones. 5ª Edición. México. International Thomson Editores.  ISBN:970-686-035-5</w:t>
            </w:r>
          </w:p>
        </w:tc>
      </w:tr>
      <w:tr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120" w:before="120" w:lineRule="auto"/>
              <w:ind w:left="709"/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Bibliografía complementaria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120" w:before="120" w:lineRule="auto"/>
              <w:ind w:left="709"/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Recursos web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709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bullet"/>
      <w:lvlText w:val="-"/>
      <w:lvlJc w:val="left"/>
      <w:pPr>
        <w:ind w:left="1074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1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3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7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9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3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l/search?hl=es&amp;tbo=p&amp;tbm=bks&amp;q=inauthor:%22Robert+Reitherman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