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vertAlign w:val="baseline"/>
          <w:rtl w:val="0"/>
        </w:rPr>
        <w:t xml:space="preserve">Universidad de Chile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-114299</wp:posOffset>
            </wp:positionH>
            <wp:positionV relativeFrom="paragraph">
              <wp:posOffset>0</wp:posOffset>
            </wp:positionV>
            <wp:extent cx="323850" cy="685800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685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vertAlign w:val="baseline"/>
          <w:rtl w:val="0"/>
        </w:rPr>
        <w:t xml:space="preserve">Facultad de Ciencias Sociales</w:t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vertAlign w:val="baseline"/>
          <w:rtl w:val="0"/>
        </w:rPr>
        <w:t xml:space="preserve">Escuela de Ciencias Sociales</w:t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vertAlign w:val="baseline"/>
          <w:rtl w:val="0"/>
        </w:rPr>
        <w:t xml:space="preserve">Carrera de Psicología</w:t>
      </w:r>
    </w:p>
    <w:p w:rsidR="00000000" w:rsidDel="00000000" w:rsidP="00000000" w:rsidRDefault="00000000" w:rsidRPr="00000000" w14:paraId="00000005">
      <w:pPr>
        <w:jc w:val="center"/>
        <w:rPr>
          <w:rFonts w:ascii="Calibri" w:cs="Calibri" w:eastAsia="Calibri" w:hAnsi="Calibri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Calibri" w:cs="Calibri" w:eastAsia="Calibri" w:hAnsi="Calibri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vertAlign w:val="baseline"/>
          <w:rtl w:val="0"/>
        </w:rPr>
        <w:t xml:space="preserve">Programa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Calibri" w:cs="Calibri" w:eastAsia="Calibri" w:hAnsi="Calibri"/>
          <w:b w:val="0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sz w:val="24"/>
          <w:szCs w:val="24"/>
          <w:vertAlign w:val="baseline"/>
          <w:rtl w:val="0"/>
        </w:rPr>
        <w:t xml:space="preserve">“Abordajes psicosociales de la vida cotidiana”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Calibri" w:cs="Calibri" w:eastAsia="Calibri" w:hAnsi="Calibri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vertAlign w:val="baseline"/>
          <w:rtl w:val="0"/>
        </w:rPr>
        <w:t xml:space="preserve">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Calibri" w:cs="Calibri" w:eastAsia="Calibri" w:hAnsi="Calibri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82.0" w:type="dxa"/>
        <w:jc w:val="left"/>
        <w:tblInd w:w="-176.0" w:type="dxa"/>
        <w:tblLayout w:type="fixed"/>
        <w:tblLook w:val="0000"/>
      </w:tblPr>
      <w:tblGrid>
        <w:gridCol w:w="3807"/>
        <w:gridCol w:w="5975"/>
        <w:tblGridChange w:id="0">
          <w:tblGrid>
            <w:gridCol w:w="3807"/>
            <w:gridCol w:w="5975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A">
            <w:pPr>
              <w:rPr>
                <w:rFonts w:ascii="Calibri" w:cs="Calibri" w:eastAsia="Calibri" w:hAnsi="Calibri"/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vertAlign w:val="baseline"/>
                <w:rtl w:val="0"/>
              </w:rPr>
              <w:t xml:space="preserve">I.- Identificación de la actividad curricular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C">
            <w:pPr>
              <w:numPr>
                <w:ilvl w:val="0"/>
                <w:numId w:val="8"/>
              </w:numPr>
              <w:ind w:left="720" w:hanging="360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Carrera en que se dicta:</w:t>
            </w:r>
          </w:p>
        </w:tc>
        <w:tc>
          <w:tcPr>
            <w:tcBorders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D">
            <w:pPr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Psicología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E">
            <w:pPr>
              <w:numPr>
                <w:ilvl w:val="0"/>
                <w:numId w:val="8"/>
              </w:numPr>
              <w:ind w:left="720" w:hanging="360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Profesor/a Coordinador/a: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8"/>
              </w:numPr>
              <w:ind w:left="720" w:hanging="360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Equipo Docente:</w:t>
            </w:r>
          </w:p>
        </w:tc>
        <w:tc>
          <w:tcPr>
            <w:tcBorders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0">
            <w:pPr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María José Reyes Andreani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1">
            <w:pPr>
              <w:numPr>
                <w:ilvl w:val="0"/>
                <w:numId w:val="8"/>
              </w:numPr>
              <w:ind w:left="720" w:hanging="360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Ciclo al que pertenece:</w:t>
            </w:r>
          </w:p>
        </w:tc>
        <w:tc>
          <w:tcPr>
            <w:tcBorders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2">
            <w:pPr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Especialización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3">
            <w:pPr>
              <w:numPr>
                <w:ilvl w:val="0"/>
                <w:numId w:val="8"/>
              </w:numPr>
              <w:ind w:left="720" w:hanging="360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Semestre:</w:t>
            </w:r>
          </w:p>
        </w:tc>
        <w:tc>
          <w:tcPr>
            <w:tcBorders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4">
            <w:pPr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Séptimo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5">
            <w:pPr>
              <w:numPr>
                <w:ilvl w:val="0"/>
                <w:numId w:val="8"/>
              </w:numPr>
              <w:ind w:left="720" w:hanging="360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Modalidad:</w:t>
            </w:r>
          </w:p>
        </w:tc>
        <w:tc>
          <w:tcPr>
            <w:tcBorders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6">
            <w:pPr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Taller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7">
            <w:pPr>
              <w:numPr>
                <w:ilvl w:val="0"/>
                <w:numId w:val="8"/>
              </w:numPr>
              <w:ind w:left="720" w:hanging="360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Carácter:</w:t>
            </w:r>
          </w:p>
        </w:tc>
        <w:tc>
          <w:tcPr>
            <w:tcBorders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8">
            <w:pPr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Optativo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9">
            <w:pPr>
              <w:numPr>
                <w:ilvl w:val="0"/>
                <w:numId w:val="8"/>
              </w:numPr>
              <w:ind w:left="720" w:hanging="360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Pre - requisitos:</w:t>
            </w:r>
          </w:p>
        </w:tc>
        <w:tc>
          <w:tcPr>
            <w:tcBorders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A">
            <w:pPr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Psicología Social I; Psicología Social II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B">
            <w:pPr>
              <w:numPr>
                <w:ilvl w:val="0"/>
                <w:numId w:val="8"/>
              </w:numPr>
              <w:ind w:left="720" w:hanging="360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Horas presenciales: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8"/>
              </w:numPr>
              <w:ind w:left="720" w:hanging="360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Horas no presenciales:</w:t>
            </w:r>
          </w:p>
        </w:tc>
        <w:tc>
          <w:tcPr>
            <w:tcBorders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D">
            <w:pPr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E">
            <w:pPr>
              <w:rPr>
                <w:rFonts w:ascii="Calibri" w:cs="Calibri" w:eastAsia="Calibri" w:hAnsi="Calibri"/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vertAlign w:val="baseline"/>
                <w:rtl w:val="0"/>
              </w:rPr>
              <w:t xml:space="preserve">II.- Descripción / Justificación de la actividad curricular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0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La 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vertAlign w:val="baseline"/>
                <w:rtl w:val="0"/>
              </w:rPr>
              <w:t xml:space="preserve">vida cotidiana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, aquella que suele definirse como lo rutinario y lo obvio de nuestras vidas, se constituye en un campo que reclama atención de las Ciencias Sociales en general y de la Psicología Social en particular, en la medida que no solo reproduce las lógicas y prácticas institucionales, sino que también es creadora de órdenes sociales.</w:t>
            </w:r>
          </w:p>
          <w:p w:rsidR="00000000" w:rsidDel="00000000" w:rsidP="00000000" w:rsidRDefault="00000000" w:rsidRPr="00000000" w14:paraId="00000022">
            <w:pPr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El curso que tiene el carácter de “taller” centrará su atención en la vida cotidiana como ámbito privilegiado para analizar las constituciones subjetivas y sociales de nuestras sociedades. Para ello, en un primer momento se trabajará en caracterizar conceptualmente la vida cotidiana, para luego abordar de forma teórica y aplicada perspectivas psicosociales que la han situado como objeto de estudio.</w:t>
            </w:r>
          </w:p>
          <w:p w:rsidR="00000000" w:rsidDel="00000000" w:rsidP="00000000" w:rsidRDefault="00000000" w:rsidRPr="00000000" w14:paraId="00000024">
            <w:pPr>
              <w:spacing w:after="160" w:line="259" w:lineRule="auto"/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6">
            <w:pPr>
              <w:rPr>
                <w:rFonts w:ascii="Calibri" w:cs="Calibri" w:eastAsia="Calibri" w:hAnsi="Calibri"/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vertAlign w:val="baseline"/>
                <w:rtl w:val="0"/>
              </w:rPr>
              <w:t xml:space="preserve">III.- Objetivos de la actividad curricular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8">
            <w:pPr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9"/>
              </w:numPr>
              <w:ind w:left="720" w:hanging="360"/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Caracterizar conceptualmente desde las Ciencias Sociales la noción de vida cotidiana. 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9"/>
              </w:numPr>
              <w:ind w:left="720" w:hanging="360"/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Explorar en términos conceptuales y prácticos perspectivas psicosociales que abordan la vida cotidiana como objeto de estudio.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C">
            <w:pPr>
              <w:rPr>
                <w:rFonts w:ascii="Calibri" w:cs="Calibri" w:eastAsia="Calibri" w:hAnsi="Calibri"/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vertAlign w:val="baseline"/>
                <w:rtl w:val="0"/>
              </w:rPr>
              <w:t xml:space="preserve">IV.- Temáticas o contenidos de la actividad curricular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E">
            <w:pPr>
              <w:ind w:left="720" w:firstLine="0"/>
              <w:jc w:val="both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10"/>
              </w:numPr>
              <w:ind w:left="720" w:hanging="360"/>
              <w:jc w:val="both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vertAlign w:val="baseline"/>
                <w:rtl w:val="0"/>
              </w:rPr>
              <w:t xml:space="preserve">Introducción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ind w:left="720" w:firstLine="0"/>
              <w:jc w:val="both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1"/>
              </w:numPr>
              <w:ind w:left="1080" w:hanging="360"/>
              <w:jc w:val="both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La vida cotidiana como objeto de estudio desde un abordaje psicosocial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1"/>
              </w:numPr>
              <w:ind w:left="1080" w:hanging="360"/>
              <w:jc w:val="both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Problematizando la vida cotidiana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ind w:left="720" w:firstLine="0"/>
              <w:jc w:val="both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10"/>
              </w:numPr>
              <w:ind w:left="720" w:hanging="360"/>
              <w:jc w:val="both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vertAlign w:val="baseline"/>
                <w:rtl w:val="0"/>
              </w:rPr>
              <w:t xml:space="preserve">Conceptualización de la vida cotidiana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2"/>
              </w:numPr>
              <w:ind w:left="1068" w:hanging="360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Vida cotidiana y espacio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2"/>
              </w:numPr>
              <w:ind w:left="1068" w:hanging="360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Vida cotidiana y tiempo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2"/>
              </w:numPr>
              <w:ind w:left="1068" w:hanging="360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Vida cotidiana y lo social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2"/>
              </w:numPr>
              <w:ind w:left="1068" w:hanging="360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Conocimiento cotidiano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2"/>
              </w:numPr>
              <w:ind w:left="1068" w:hanging="360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Accionar desde la cotidianidad</w:t>
            </w:r>
          </w:p>
          <w:p w:rsidR="00000000" w:rsidDel="00000000" w:rsidP="00000000" w:rsidRDefault="00000000" w:rsidRPr="00000000" w14:paraId="0000003B">
            <w:pPr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10"/>
              </w:numPr>
              <w:ind w:left="720" w:hanging="360"/>
              <w:jc w:val="both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vertAlign w:val="baseline"/>
                <w:rtl w:val="0"/>
              </w:rPr>
              <w:t xml:space="preserve">Abordajes psicosociales de la vida cotidiana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ind w:left="360" w:firstLine="0"/>
              <w:jc w:val="both"/>
              <w:rPr>
                <w:rFonts w:ascii="Calibri" w:cs="Calibri" w:eastAsia="Calibri" w:hAnsi="Calibri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numPr>
                <w:ilvl w:val="1"/>
                <w:numId w:val="3"/>
              </w:numPr>
              <w:ind w:left="1080" w:hanging="360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Etnometodología</w:t>
            </w:r>
          </w:p>
          <w:p w:rsidR="00000000" w:rsidDel="00000000" w:rsidP="00000000" w:rsidRDefault="00000000" w:rsidRPr="00000000" w14:paraId="0000003F">
            <w:pPr>
              <w:numPr>
                <w:ilvl w:val="1"/>
                <w:numId w:val="3"/>
              </w:numPr>
              <w:ind w:left="1080" w:hanging="360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Dramaturgia cotidiana</w:t>
            </w:r>
          </w:p>
          <w:p w:rsidR="00000000" w:rsidDel="00000000" w:rsidP="00000000" w:rsidRDefault="00000000" w:rsidRPr="00000000" w14:paraId="00000040">
            <w:pPr>
              <w:numPr>
                <w:ilvl w:val="1"/>
                <w:numId w:val="3"/>
              </w:numPr>
              <w:ind w:left="1080" w:hanging="360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El estudio de las conversaciones</w:t>
            </w:r>
          </w:p>
          <w:p w:rsidR="00000000" w:rsidDel="00000000" w:rsidP="00000000" w:rsidRDefault="00000000" w:rsidRPr="00000000" w14:paraId="00000041">
            <w:pPr>
              <w:tabs>
                <w:tab w:val="left" w:pos="1065"/>
              </w:tabs>
              <w:spacing w:after="160" w:line="259" w:lineRule="auto"/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3">
            <w:pPr>
              <w:rPr>
                <w:rFonts w:ascii="Calibri" w:cs="Calibri" w:eastAsia="Calibri" w:hAnsi="Calibri"/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vertAlign w:val="baseline"/>
                <w:rtl w:val="0"/>
              </w:rPr>
              <w:t xml:space="preserve">V.- Metodología de la actividad curricular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5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La metodología de trabajo será a través de:</w:t>
            </w:r>
          </w:p>
          <w:p w:rsidR="00000000" w:rsidDel="00000000" w:rsidP="00000000" w:rsidRDefault="00000000" w:rsidRPr="00000000" w14:paraId="00000047">
            <w:pPr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4"/>
              </w:numPr>
              <w:ind w:left="720" w:hanging="360"/>
              <w:jc w:val="both"/>
              <w:rPr>
                <w:rFonts w:ascii="Calibri" w:cs="Calibri" w:eastAsia="Calibri" w:hAnsi="Calibri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vertAlign w:val="baseline"/>
                <w:rtl w:val="0"/>
              </w:rPr>
              <w:t xml:space="preserve">Exposición: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el docente a cargo planteará ideas y conceptos centrales del tema a tratar, incentivando la conversación y el debate en el aula.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ind w:left="720" w:firstLine="0"/>
              <w:jc w:val="both"/>
              <w:rPr>
                <w:rFonts w:ascii="Calibri" w:cs="Calibri" w:eastAsia="Calibri" w:hAnsi="Calibri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4"/>
              </w:numPr>
              <w:ind w:left="720" w:hanging="360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vertAlign w:val="baseline"/>
                <w:rtl w:val="0"/>
              </w:rPr>
              <w:t xml:space="preserve">Taller de lectura: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esta modalidad se iniciará con una breve exposición a cargo de dos o tres estudiantes respecto a ideas y preguntas que emergen desde el texto asignado, para luego dar paso a breves comentarios a cargo de otros dos estudiantes. Luego, el docente realizará un marco general desde donde situar la discusión, para finalmente, realizar un debate conjunto.</w:t>
            </w:r>
          </w:p>
          <w:p w:rsidR="00000000" w:rsidDel="00000000" w:rsidP="00000000" w:rsidRDefault="00000000" w:rsidRPr="00000000" w14:paraId="0000004B">
            <w:pPr>
              <w:ind w:left="720" w:firstLine="0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numPr>
                <w:ilvl w:val="0"/>
                <w:numId w:val="4"/>
              </w:numPr>
              <w:ind w:left="720" w:hanging="360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vertAlign w:val="baseline"/>
                <w:rtl w:val="0"/>
              </w:rPr>
              <w:t xml:space="preserve">Taller de análisis de la vida cotidiana: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en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esta modalidad se irá construyendo el trabajo que tiene por objeto analizar un fenómeno de la vida cotidiana.</w:t>
            </w:r>
          </w:p>
          <w:p w:rsidR="00000000" w:rsidDel="00000000" w:rsidP="00000000" w:rsidRDefault="00000000" w:rsidRPr="00000000" w14:paraId="0000004D">
            <w:pPr>
              <w:ind w:left="720" w:firstLine="0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numPr>
                <w:ilvl w:val="0"/>
                <w:numId w:val="4"/>
              </w:numPr>
              <w:ind w:left="720" w:hanging="360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vertAlign w:val="baseline"/>
                <w:rtl w:val="0"/>
              </w:rPr>
              <w:t xml:space="preserve">Ayudantías: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 el trabajo de ayudantía consistirá en el asesoramiento para el trabajo de integración teórico-empírica. Para ello, las/os ayudantes participarán de las discusiones y revisiones del taller de análisis de la vida cotidiana y también existirá la posibilidad de reunirse con ellas/os en otro horario de la semana, según los requerimientos de los grupos. Adicionalmente, y en consideración con la disponibilidad horaria, las/os ayudantes también podrán apoyar la preparación de los escritos del trabajo o en las presentaciones de los textos de la asignatura, vía presencial o virtual. </w:t>
            </w:r>
          </w:p>
          <w:p w:rsidR="00000000" w:rsidDel="00000000" w:rsidP="00000000" w:rsidRDefault="00000000" w:rsidRPr="00000000" w14:paraId="0000004F">
            <w:pPr>
              <w:spacing w:after="160" w:line="259" w:lineRule="auto"/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1">
            <w:pPr>
              <w:rPr>
                <w:rFonts w:ascii="Calibri" w:cs="Calibri" w:eastAsia="Calibri" w:hAnsi="Calibri"/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vertAlign w:val="baseline"/>
                <w:rtl w:val="0"/>
              </w:rPr>
              <w:t xml:space="preserve">VI.- Evaluación de la actividad curricular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3">
            <w:pPr>
              <w:ind w:right="533"/>
              <w:jc w:val="both"/>
              <w:rPr>
                <w:rFonts w:ascii="Calibri" w:cs="Calibri" w:eastAsia="Calibri" w:hAnsi="Calibri"/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5"/>
              </w:numPr>
              <w:ind w:left="720" w:hanging="360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Taller de Lectura: rol “presentador/a”. 30% de la nota final. </w:t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5"/>
              </w:numPr>
              <w:ind w:left="720" w:hanging="360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Taller de Análisis de la vida cotidiana: trabajo “Análisis de la vida cotidiana”. 70% de la nota final del curso.</w:t>
            </w:r>
          </w:p>
          <w:p w:rsidR="00000000" w:rsidDel="00000000" w:rsidP="00000000" w:rsidRDefault="00000000" w:rsidRPr="00000000" w14:paraId="00000056">
            <w:pPr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9">
            <w:pPr>
              <w:rPr>
                <w:rFonts w:ascii="Calibri" w:cs="Calibri" w:eastAsia="Calibri" w:hAnsi="Calibri"/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vertAlign w:val="baseline"/>
                <w:rtl w:val="0"/>
              </w:rPr>
              <w:t xml:space="preserve">VII.- Bibliografía básica y obligatoria de la actividad curricular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B">
            <w:pPr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numPr>
                <w:ilvl w:val="0"/>
                <w:numId w:val="6"/>
              </w:numPr>
              <w:ind w:left="720" w:hanging="360"/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Berger, P., &amp; Luckmann, T. (1967). Institucionalización. En La construcción social de la realidad (pp.64-102). Buenos Aires: Amorrortu. (2005). </w:t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6"/>
              </w:numPr>
              <w:ind w:left="720" w:hanging="360"/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Briceño, P. (2016.) Ética, Control y Reconocimiento en la Vida Cotidiana de los Habitantes de la Población la Victoria (Santiago, Chile). Revista Chilena de Antropología 33. Pp. 15-28</w:t>
            </w:r>
          </w:p>
          <w:p w:rsidR="00000000" w:rsidDel="00000000" w:rsidP="00000000" w:rsidRDefault="00000000" w:rsidRPr="00000000" w14:paraId="0000005E">
            <w:pPr>
              <w:numPr>
                <w:ilvl w:val="0"/>
                <w:numId w:val="6"/>
              </w:numPr>
              <w:ind w:left="720" w:hanging="360"/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De Certeau, M. (1990). Valerse de usos y prácticas. En  La invención de lo cotidiano. I Artes de hacer (pp.35-53). México D.F.: Universidad Iberoamericana / Instituto Tecnológico y de Estudios Superiores de Occidente. (2000). </w:t>
            </w:r>
          </w:p>
          <w:p w:rsidR="00000000" w:rsidDel="00000000" w:rsidP="00000000" w:rsidRDefault="00000000" w:rsidRPr="00000000" w14:paraId="0000005F">
            <w:pPr>
              <w:numPr>
                <w:ilvl w:val="0"/>
                <w:numId w:val="6"/>
              </w:numPr>
              <w:ind w:left="720" w:hanging="360"/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Elias, N. (1998). Apuntes sobre el concepto de lo cotidiano. En Weiler, V. (1998) La civilización de los padres y otros ensayos (pp. 331-347). Bogotá: Norma Editorial.</w:t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6"/>
              </w:numPr>
              <w:ind w:left="720" w:hanging="360"/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Garfinkel, H. (2006). ¿Qué es la etnometodología? Estudios en etnometodología (pp.47-90). Barcelona: Anthropos</w:t>
            </w:r>
          </w:p>
          <w:p w:rsidR="00000000" w:rsidDel="00000000" w:rsidP="00000000" w:rsidRDefault="00000000" w:rsidRPr="00000000" w14:paraId="00000061">
            <w:pPr>
              <w:numPr>
                <w:ilvl w:val="0"/>
                <w:numId w:val="6"/>
              </w:numPr>
              <w:ind w:left="720" w:hanging="360"/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Giannini, H. (1987). Hacia una arqueología de la experiencia. En Giannini, H. La "reflexión" cotidiana. Hacia una arqueología de la experiencia (pp.15-42). Santiago de Chile: Universitaria.</w:t>
            </w:r>
          </w:p>
          <w:p w:rsidR="00000000" w:rsidDel="00000000" w:rsidP="00000000" w:rsidRDefault="00000000" w:rsidRPr="00000000" w14:paraId="00000062">
            <w:pPr>
              <w:numPr>
                <w:ilvl w:val="0"/>
                <w:numId w:val="6"/>
              </w:numPr>
              <w:ind w:left="720" w:hanging="360"/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Goffman, E. (2006). Introducción. La presentación de la persona en la vida cotidiana (pp. 13-46). Buenos Aires: Amorrortu </w:t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6"/>
              </w:numPr>
              <w:ind w:left="720" w:hanging="360"/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Heller, Á. (1970). El saber cotidiano. En Sociología de la vida cotidiana (pp.525-568). Barcelona: Península </w:t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6"/>
              </w:numPr>
              <w:ind w:left="720" w:hanging="360"/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Reyes, M. J. (2014). La despolitización y la privatización como políticas de memoria en los discursos cotidianos. En Estefane, A. &amp; Bustamante, G. (comp.) La agonía de la convivencia. Violencia política, historia y memoria (pp.115-130). Santiago de Chile: RiL editores.</w:t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6"/>
              </w:numPr>
              <w:ind w:left="720" w:hanging="360"/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Reyes, M.J. (2016). Introducción: Vidas cotidianas en emergencia como campo de investigación social. En Reyes, Arensburg &amp; Póo (Coord.).  Vidas cotidianas en emergencia: territorio, habitantes y prácticas. pp. 11-21. Santiago: Social-Ediciones. </w:t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6"/>
              </w:numPr>
              <w:ind w:left="720" w:hanging="360"/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Shotter, J. (2001). El fondo conversacional de la vida social: más allá del representacionismo. Realidades conversacionales. La construcción de la vida a través del lenguaje. Buenos Aires: Amorrortu  pp.35-56</w:t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6"/>
              </w:numPr>
              <w:ind w:left="720" w:hanging="360"/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Shutz, A. &amp; Luckmann, T. (2009) El ordenamiento temporal del mundo de la vida cotidiana. En las estructuras del mundo de la vida (pp. 62-74). Buenos Aires: Amorrortu.</w:t>
            </w:r>
          </w:p>
          <w:p w:rsidR="00000000" w:rsidDel="00000000" w:rsidP="00000000" w:rsidRDefault="00000000" w:rsidRPr="00000000" w14:paraId="00000068">
            <w:pPr>
              <w:numPr>
                <w:ilvl w:val="0"/>
                <w:numId w:val="6"/>
              </w:numPr>
              <w:ind w:left="720" w:hanging="360"/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Simmel, G. (1917). La sociabilidad. En Cuestiones fundamentales de sociología (pp.77-101). Barcelona: Gedisa Editorial. (2003). </w:t>
            </w:r>
          </w:p>
          <w:p w:rsidR="00000000" w:rsidDel="00000000" w:rsidP="00000000" w:rsidRDefault="00000000" w:rsidRPr="00000000" w14:paraId="00000069">
            <w:pPr>
              <w:numPr>
                <w:ilvl w:val="0"/>
                <w:numId w:val="6"/>
              </w:numPr>
              <w:ind w:left="720" w:hanging="360"/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  <w:rtl w:val="0"/>
              </w:rPr>
              <w:t xml:space="preserve">Tijoux, M.E. (2009). La inscripción de lo cotidiano: Los murales de la población La Victoria. Actuel Marx/Intervenciones n°8, pp.143-153.</w:t>
            </w:r>
          </w:p>
          <w:p w:rsidR="00000000" w:rsidDel="00000000" w:rsidP="00000000" w:rsidRDefault="00000000" w:rsidRPr="00000000" w14:paraId="0000006A">
            <w:pPr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0">
            <w:pPr>
              <w:rPr>
                <w:rFonts w:ascii="Calibri" w:cs="Calibri" w:eastAsia="Calibri" w:hAnsi="Calibri"/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vertAlign w:val="baseline"/>
                <w:rtl w:val="0"/>
              </w:rPr>
              <w:t xml:space="preserve">VIII.- Bibliografía complementaria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2">
            <w:pPr>
              <w:ind w:left="720" w:firstLine="0"/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numPr>
                <w:ilvl w:val="0"/>
                <w:numId w:val="7"/>
              </w:numPr>
              <w:ind w:left="720" w:hanging="360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Fernández, Pablo (1994). La psicología colectiva un fin de siglo más tarde. Barcelona; Zamora: Anthropos; El Colegio de Michoacán. </w:t>
            </w:r>
          </w:p>
          <w:p w:rsidR="00000000" w:rsidDel="00000000" w:rsidP="00000000" w:rsidRDefault="00000000" w:rsidRPr="00000000" w14:paraId="00000074">
            <w:pPr>
              <w:numPr>
                <w:ilvl w:val="0"/>
                <w:numId w:val="7"/>
              </w:numPr>
              <w:ind w:left="720" w:hanging="360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Goffman Erving (2006) Estigma. La identidad deteriorada, Buenos Aires, Amorrutu Editores</w:t>
            </w:r>
          </w:p>
          <w:p w:rsidR="00000000" w:rsidDel="00000000" w:rsidP="00000000" w:rsidRDefault="00000000" w:rsidRPr="00000000" w14:paraId="00000075">
            <w:pPr>
              <w:numPr>
                <w:ilvl w:val="0"/>
                <w:numId w:val="7"/>
              </w:numPr>
              <w:ind w:left="720" w:hanging="360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Goffman Erving (1972) Internados. Ensayo sobre la situación social de los enfermos mentales, Buenos Aires, Amorrortu Editores</w:t>
            </w:r>
          </w:p>
          <w:p w:rsidR="00000000" w:rsidDel="00000000" w:rsidP="00000000" w:rsidRDefault="00000000" w:rsidRPr="00000000" w14:paraId="00000076">
            <w:pPr>
              <w:numPr>
                <w:ilvl w:val="0"/>
                <w:numId w:val="7"/>
              </w:numPr>
              <w:ind w:left="720" w:hanging="360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Lindon, Alicia (Ed.) (2000). La vida cotidiana y su espacio-temporalidad. España: Anthropos.</w:t>
            </w:r>
          </w:p>
          <w:p w:rsidR="00000000" w:rsidDel="00000000" w:rsidP="00000000" w:rsidRDefault="00000000" w:rsidRPr="00000000" w14:paraId="00000077">
            <w:pPr>
              <w:numPr>
                <w:ilvl w:val="0"/>
                <w:numId w:val="7"/>
              </w:numPr>
              <w:ind w:left="720" w:hanging="360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Moscovici, Serge &amp; Hewstone, M. (1984). De la ciencia al sentido común. En S. Moscovici (Ed.), Psicología social, II. Pensamiento y vida social. Psicología social y problemas sociales (pp. 679-710). Barcelona: Paidós. </w:t>
            </w:r>
          </w:p>
          <w:p w:rsidR="00000000" w:rsidDel="00000000" w:rsidP="00000000" w:rsidRDefault="00000000" w:rsidRPr="00000000" w14:paraId="00000078">
            <w:pPr>
              <w:numPr>
                <w:ilvl w:val="0"/>
                <w:numId w:val="7"/>
              </w:numPr>
              <w:ind w:left="720" w:hanging="360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Potter, Jonathan (1996). La representación de la realidad. Discurso, retórica y construcción social. Barcelona: Paidós.</w:t>
            </w:r>
          </w:p>
          <w:p w:rsidR="00000000" w:rsidDel="00000000" w:rsidP="00000000" w:rsidRDefault="00000000" w:rsidRPr="00000000" w14:paraId="00000079">
            <w:pPr>
              <w:numPr>
                <w:ilvl w:val="0"/>
                <w:numId w:val="7"/>
              </w:numPr>
              <w:ind w:left="720" w:hanging="360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Reyes, M.J., Arensburg, S. &amp; Poó, X. (Coord.) (2016). Vidas cotidianas en emergencia: territorio, habitantes y prácticas. Santiago: Social-Ediciones</w:t>
            </w:r>
          </w:p>
          <w:p w:rsidR="00000000" w:rsidDel="00000000" w:rsidP="00000000" w:rsidRDefault="00000000" w:rsidRPr="00000000" w14:paraId="0000007A">
            <w:pPr>
              <w:numPr>
                <w:ilvl w:val="0"/>
                <w:numId w:val="7"/>
              </w:numPr>
              <w:ind w:left="720" w:hanging="360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Reyes, M.J. (2015) “Construcción de políticas de memoria desde la vida cotidiana”. Psicologia &amp; Sociedade, 27(2) 341-350. </w:t>
            </w:r>
            <w:hyperlink r:id="rId8">
              <w:r w:rsidDel="00000000" w:rsidR="00000000" w:rsidRPr="00000000">
                <w:rPr>
                  <w:rFonts w:ascii="Calibri" w:cs="Calibri" w:eastAsia="Calibri" w:hAnsi="Calibri"/>
                  <w:color w:val="0000ff"/>
                  <w:sz w:val="24"/>
                  <w:szCs w:val="24"/>
                  <w:u w:val="single"/>
                  <w:vertAlign w:val="baseline"/>
                  <w:rtl w:val="0"/>
                </w:rPr>
                <w:t xml:space="preserve">http://dx.doi.org/10.1590/1807-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03102015v27n2p341 </w:t>
            </w:r>
          </w:p>
          <w:p w:rsidR="00000000" w:rsidDel="00000000" w:rsidP="00000000" w:rsidRDefault="00000000" w:rsidRPr="00000000" w14:paraId="0000007B">
            <w:pPr>
              <w:numPr>
                <w:ilvl w:val="0"/>
                <w:numId w:val="7"/>
              </w:numPr>
              <w:ind w:left="720" w:hanging="360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Reyes, M.J., Muñoz, J. y Vázquez, F. (2013). Políticas de Memoria Desde los Discursos Cotidianos: La Despolitización del Pasado Reciente en el Chile Actual. Psykhe, 22(2) 161-173. doi:10.7764/psykhe.22.2.582 </w:t>
            </w:r>
          </w:p>
          <w:p w:rsidR="00000000" w:rsidDel="00000000" w:rsidP="00000000" w:rsidRDefault="00000000" w:rsidRPr="00000000" w14:paraId="0000007C">
            <w:pPr>
              <w:numPr>
                <w:ilvl w:val="0"/>
                <w:numId w:val="7"/>
              </w:numPr>
              <w:ind w:left="720" w:hanging="360"/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Schutz, Alfred &amp; Thomas Luckmann (2009) Las estructuras del mundo de la vida. Buenos Aires: Amorrortu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F">
      <w:pPr>
        <w:rPr>
          <w:rFonts w:ascii="Calibri" w:cs="Calibri" w:eastAsia="Calibri" w:hAnsi="Calibri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vertAlign w:val="baseline"/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80">
      <w:pPr>
        <w:rPr>
          <w:rFonts w:ascii="Calibri" w:cs="Calibri" w:eastAsia="Calibri" w:hAnsi="Calibri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Calibri" w:cs="Calibri" w:eastAsia="Calibri" w:hAnsi="Calibri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center"/>
        <w:rPr>
          <w:rFonts w:ascii="Calibri" w:cs="Calibri" w:eastAsia="Calibri" w:hAnsi="Calibri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vertAlign w:val="baseline"/>
          <w:rtl w:val="0"/>
        </w:rPr>
        <w:t xml:space="preserve">Cronograma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center"/>
        <w:rPr>
          <w:rFonts w:ascii="Calibri" w:cs="Calibri" w:eastAsia="Calibri" w:hAnsi="Calibri"/>
          <w:b w:val="0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sz w:val="24"/>
          <w:szCs w:val="24"/>
          <w:vertAlign w:val="baseline"/>
          <w:rtl w:val="0"/>
        </w:rPr>
        <w:t xml:space="preserve">Nombre del Curso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center"/>
        <w:rPr>
          <w:rFonts w:ascii="Calibri" w:cs="Calibri" w:eastAsia="Calibri" w:hAnsi="Calibri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vertAlign w:val="baseline"/>
          <w:rtl w:val="0"/>
        </w:rPr>
        <w:t xml:space="preserve">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center"/>
        <w:rPr>
          <w:rFonts w:ascii="Calibri" w:cs="Calibri" w:eastAsia="Calibri" w:hAnsi="Calibri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546.0" w:type="dxa"/>
        <w:jc w:val="left"/>
        <w:tblInd w:w="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68"/>
        <w:gridCol w:w="742"/>
        <w:gridCol w:w="3387"/>
        <w:gridCol w:w="4549"/>
        <w:tblGridChange w:id="0">
          <w:tblGrid>
            <w:gridCol w:w="868"/>
            <w:gridCol w:w="742"/>
            <w:gridCol w:w="3387"/>
            <w:gridCol w:w="4549"/>
          </w:tblGrid>
        </w:tblGridChange>
      </w:tblGrid>
      <w:tr>
        <w:trPr>
          <w:cantSplit w:val="0"/>
          <w:trHeight w:val="124" w:hRule="atLeast"/>
          <w:tblHeader w:val="0"/>
        </w:trPr>
        <w:tc>
          <w:tcPr>
            <w:shd w:fill="c0c0c0" w:val="clear"/>
            <w:vAlign w:val="top"/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Garamond" w:cs="Garamond" w:eastAsia="Garamond" w:hAnsi="Garamond"/>
                <w:b w:val="0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vertAlign w:val="baseline"/>
                <w:rtl w:val="0"/>
              </w:rPr>
              <w:t xml:space="preserve">Sesiones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 w:val="clear"/>
            <w:vAlign w:val="top"/>
          </w:tcPr>
          <w:p w:rsidR="00000000" w:rsidDel="00000000" w:rsidP="00000000" w:rsidRDefault="00000000" w:rsidRPr="00000000" w14:paraId="00000087">
            <w:pPr>
              <w:jc w:val="center"/>
              <w:rPr>
                <w:rFonts w:ascii="Garamond" w:cs="Garamond" w:eastAsia="Garamond" w:hAnsi="Garamond"/>
                <w:b w:val="0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vertAlign w:val="baseline"/>
                <w:rtl w:val="0"/>
              </w:rPr>
              <w:t xml:space="preserve">Fecha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 w:val="clear"/>
            <w:vAlign w:val="top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Garamond" w:cs="Garamond" w:eastAsia="Garamond" w:hAnsi="Garamond"/>
                <w:b w:val="0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vertAlign w:val="baseline"/>
                <w:rtl w:val="0"/>
              </w:rPr>
              <w:t xml:space="preserve">Tema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 w:val="clear"/>
            <w:vAlign w:val="top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Garamond" w:cs="Garamond" w:eastAsia="Garamond" w:hAnsi="Garamond"/>
                <w:b w:val="0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vertAlign w:val="baseline"/>
                <w:rtl w:val="0"/>
              </w:rPr>
              <w:t xml:space="preserve">Textos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8" w:hRule="atLeast"/>
          <w:tblHeader w:val="0"/>
        </w:trPr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Sesión 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B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17 de Marzo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C">
            <w:pPr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Presentación del curso</w:t>
            </w:r>
          </w:p>
          <w:p w:rsidR="00000000" w:rsidDel="00000000" w:rsidP="00000000" w:rsidRDefault="00000000" w:rsidRPr="00000000" w14:paraId="0000008D">
            <w:pPr>
              <w:rPr>
                <w:rFonts w:ascii="Garamond" w:cs="Garamond" w:eastAsia="Garamond" w:hAnsi="Garamond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Introducción:  </w:t>
            </w: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La vida cotidiana como objeto de estudio desde un abordaje psicosocial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ind w:left="360" w:firstLine="0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0">
            <w:pPr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091">
            <w:pPr>
              <w:jc w:val="center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Sesión 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2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24 de Marzo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3">
            <w:pPr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Taller de lectura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Introducción:  </w:t>
            </w: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Problematización de la vida cotidiana</w:t>
            </w: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7">
            <w:pPr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Conceptualización de la vida cotidiana: </w:t>
            </w: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Vida cotidiana y espacio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B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Elias, N. (1998). Apuntes sobre el concepto de lo cotidiano. En Weiler, V. (1998) </w:t>
            </w: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La civilización de los padres y otros ensayos</w:t>
            </w: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 (pp. 331-347). Bogotá: Norma Editorial.</w:t>
            </w:r>
          </w:p>
          <w:p w:rsidR="00000000" w:rsidDel="00000000" w:rsidP="00000000" w:rsidRDefault="00000000" w:rsidRPr="00000000" w14:paraId="0000009C">
            <w:pPr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Reyes, M.J. (2016). Introducción: Vidas cotidianas en emergencia como campo de investigación social. En Reyes, Arensburg &amp; Póo (Coord.).  </w:t>
            </w: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Vidas cotidianas en emergencia: territorio, habitantes y prácticas</w:t>
            </w: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. pp. 11-21. Santiago: Social-Ediciones. </w:t>
            </w:r>
          </w:p>
          <w:p w:rsidR="00000000" w:rsidDel="00000000" w:rsidP="00000000" w:rsidRDefault="00000000" w:rsidRPr="00000000" w14:paraId="0000009E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Giannini, H. (1987). Hacia una arqueología de la experiencia. En Giannini, H. </w:t>
            </w: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La "reflexión" cotidiana. Hacia una arqueología de la experiencia</w:t>
            </w: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 (pp.15-42). Santiago de Chile: Universitaria.</w:t>
            </w:r>
          </w:p>
          <w:p w:rsidR="00000000" w:rsidDel="00000000" w:rsidP="00000000" w:rsidRDefault="00000000" w:rsidRPr="00000000" w14:paraId="000000A0">
            <w:pPr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Tijoux, M.E. (2009). La inscripción de lo cotidiano: Los murales de la población La Victoria. Actuel Marx/Intervenciones n°8, pp.143-153.</w:t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0A2">
            <w:pPr>
              <w:jc w:val="center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Sesión 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3">
            <w:pPr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31 de Marzo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4">
            <w:pPr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Taller</w:t>
            </w: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de análisis de la vida cotidiana</w:t>
            </w: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: Presentación de temáticas (6 grupos)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5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45" w:hRule="atLeast"/>
          <w:tblHeader w:val="0"/>
        </w:trPr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Sesión 4</w:t>
            </w:r>
          </w:p>
          <w:p w:rsidR="00000000" w:rsidDel="00000000" w:rsidP="00000000" w:rsidRDefault="00000000" w:rsidRPr="00000000" w14:paraId="000000A7">
            <w:pPr>
              <w:jc w:val="center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8">
            <w:pPr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7 de Abril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9">
            <w:pPr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Taller de lectura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Conceptualización de la vida cotidiana: </w:t>
            </w: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Vida cotidiana y tiempo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jc w:val="both"/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Conceptualización de la vida cotidiana: </w:t>
            </w: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Vida cotidiana y lo social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jc w:val="both"/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0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Shutz, A. &amp; Luckmann, T. (2009) El ordenamiento temporal del mundo de la vida cotidiana. En </w:t>
            </w: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las estructuras del mundo de la vida </w:t>
            </w: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(pp. 62-74). Buenos Aires: Amorrortu.</w:t>
            </w:r>
          </w:p>
          <w:p w:rsidR="00000000" w:rsidDel="00000000" w:rsidP="00000000" w:rsidRDefault="00000000" w:rsidRPr="00000000" w14:paraId="000000B1">
            <w:pPr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Guell, P. &amp; Yopo, M. (2017). Las perspectivas temporales de los chilenos: un estudio empírico sobre la dimensión subjetiva del tiempo</w:t>
            </w: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. Universum</w:t>
            </w: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, Vol. 32, n°1, 121-135. </w:t>
            </w:r>
          </w:p>
          <w:p w:rsidR="00000000" w:rsidDel="00000000" w:rsidP="00000000" w:rsidRDefault="00000000" w:rsidRPr="00000000" w14:paraId="000000B3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Simmel, G. (1917). La sociabilidad. En </w:t>
            </w: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 Cuestiones fundamentales de sociología</w:t>
            </w: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 (pp.77-101). Barcelona: Gedisa Editorial. (2003). </w:t>
            </w:r>
          </w:p>
          <w:p w:rsidR="00000000" w:rsidDel="00000000" w:rsidP="00000000" w:rsidRDefault="00000000" w:rsidRPr="00000000" w14:paraId="000000B5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Rubio-Romero, J., Jiménez, J. M. y Barón-Dulce, G. (2019). Las redes sociales digitales como espacios de sociabilidad de los adolescentes. El caso del colegio Escolapios de Aluche. Revista Mediterránea de Comunicación/Mediterranean Journal of Communication, 10(2), 85-99.</w:t>
            </w:r>
          </w:p>
          <w:p w:rsidR="00000000" w:rsidDel="00000000" w:rsidP="00000000" w:rsidRDefault="00000000" w:rsidRPr="00000000" w14:paraId="000000B7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https://www.doi.org/10.14198/MEDCOM2019.10.2.19</w:t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0B8">
            <w:pPr>
              <w:jc w:val="center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Sesión 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9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14 de Abril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A">
            <w:pPr>
              <w:jc w:val="both"/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Taller de análisis de la vida cotidiana: </w:t>
            </w: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Presentación primeros registros y preguntas (3 grupos)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B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45" w:hRule="atLeast"/>
          <w:tblHeader w:val="0"/>
        </w:trPr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0BC">
            <w:pPr>
              <w:jc w:val="center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Sesión 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D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21 de Abril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E">
            <w:pPr>
              <w:jc w:val="both"/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Taller lectura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jc w:val="both"/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jc w:val="both"/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Conceptualización de la vida cotidiana: </w:t>
            </w: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Conocimiento cotidiano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jc w:val="both"/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jc w:val="both"/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jc w:val="both"/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Conceptualización de la vida cotidiana: </w:t>
            </w: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Accionar desde la cotidianidad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jc w:val="both"/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jc w:val="both"/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jc w:val="both"/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jc w:val="both"/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8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Heller, Á. (1970). El saber cotidiano. En </w:t>
            </w: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Sociología de la vida cotidiana</w:t>
            </w: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 (pp.525-568). Barcelona: Península </w:t>
            </w:r>
          </w:p>
          <w:p w:rsidR="00000000" w:rsidDel="00000000" w:rsidP="00000000" w:rsidRDefault="00000000" w:rsidRPr="00000000" w14:paraId="000000C9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Briceño, P. (2016.) Ética, Control y Reconocimiento en la Vida Cotidiana de los Habitantes de la Población la Victoria (Santiago, Chile). </w:t>
            </w: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Revista Chilena de Antropología</w:t>
            </w: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 33. Pp. 15-28 </w:t>
            </w:r>
          </w:p>
          <w:p w:rsidR="00000000" w:rsidDel="00000000" w:rsidP="00000000" w:rsidRDefault="00000000" w:rsidRPr="00000000" w14:paraId="000000CB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De Certeau, M. (1990). Valerse de usos y prácticas. En </w:t>
            </w: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 La invención de lo cotidiano. I Artes de hacer </w:t>
            </w: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(pp.35-53). México D.F.: Universidad Iberoamericana / Instituto Tecnológico y de Estudios Superiores de Occidente. (2000). </w:t>
            </w:r>
          </w:p>
          <w:p w:rsidR="00000000" w:rsidDel="00000000" w:rsidP="00000000" w:rsidRDefault="00000000" w:rsidRPr="00000000" w14:paraId="000000CD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Reyes, M. J. (2014). La despolitización y la privatización como políticas de memoria en los discursos cotidianos. En Estefane, A. &amp; Bustamante, G. (comp.) </w:t>
            </w: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La agonía de la convivencia. Violencia política, historia y memoria </w:t>
            </w: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(pp.115-130). Santiago de Chile: RiL editores.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0CF">
            <w:pPr>
              <w:jc w:val="center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Sesión 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0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28 de Abril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1">
            <w:pPr>
              <w:jc w:val="both"/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Taller de análisis de la vida cotidiana: </w:t>
            </w: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Presentación primeros registros y preguntas (3 grupos)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jc w:val="both"/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3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9" w:hRule="atLeast"/>
          <w:tblHeader w:val="0"/>
        </w:trPr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0D4">
            <w:pPr>
              <w:jc w:val="center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Sesión 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5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5 de Mayo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6">
            <w:pPr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Taller de lectura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Abordajes psicosociales de la vida cotidiana: </w:t>
            </w: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Etnometodología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C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Garfinkel, H. (2006). ¿Qué es la etnometodología? </w:t>
            </w: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Estudios en etnometodología</w:t>
            </w: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 (pp.47-90). Barcelona: Anthropos</w:t>
            </w:r>
          </w:p>
        </w:tc>
      </w:tr>
      <w:tr>
        <w:trPr>
          <w:cantSplit w:val="0"/>
          <w:trHeight w:val="745" w:hRule="atLeast"/>
          <w:tblHeader w:val="0"/>
        </w:trPr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0DD">
            <w:pPr>
              <w:jc w:val="center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Sesión 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E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12 de Mayo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left" w:pos="576"/>
                <w:tab w:val="left" w:pos="720"/>
                <w:tab w:val="left" w:pos="14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Taller de análisis de la vida cotidiana: </w:t>
            </w:r>
            <w:r w:rsidDel="00000000" w:rsidR="00000000" w:rsidRPr="00000000"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Presentación de registros y revisión teórica (3 grupos)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0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left" w:pos="576"/>
                <w:tab w:val="left" w:pos="720"/>
                <w:tab w:val="left" w:pos="1440"/>
              </w:tabs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gridSpan w:val="4"/>
            <w:shd w:fill="e6e6e6" w:val="clear"/>
            <w:vAlign w:val="top"/>
          </w:tcPr>
          <w:p w:rsidR="00000000" w:rsidDel="00000000" w:rsidP="00000000" w:rsidRDefault="00000000" w:rsidRPr="00000000" w14:paraId="000000E1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left" w:pos="576"/>
                <w:tab w:val="left" w:pos="720"/>
                <w:tab w:val="left" w:pos="1440"/>
              </w:tabs>
              <w:spacing w:after="0" w:before="0" w:line="240" w:lineRule="auto"/>
              <w:ind w:left="0" w:right="0" w:firstLine="0"/>
              <w:jc w:val="center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Semana Receso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9" w:hRule="atLeast"/>
          <w:tblHeader w:val="0"/>
        </w:trPr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0E5">
            <w:pPr>
              <w:jc w:val="center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Sesión 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6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26 de Mayo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left" w:pos="576"/>
                <w:tab w:val="left" w:pos="720"/>
                <w:tab w:val="left" w:pos="1440"/>
              </w:tabs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Taller lectura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left" w:pos="576"/>
                <w:tab w:val="left" w:pos="720"/>
                <w:tab w:val="left" w:pos="1440"/>
              </w:tabs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Abordajes psicosociales de la vida cotidiana:</w:t>
            </w:r>
            <w:r w:rsidDel="00000000" w:rsidR="00000000" w:rsidRPr="00000000">
              <w:rPr>
                <w:rFonts w:ascii="Garamond" w:cs="Garamond" w:eastAsia="Garamond" w:hAnsi="Garamond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Dramaturgia cotidiana</w:t>
            </w:r>
            <w:r w:rsidDel="00000000" w:rsidR="00000000" w:rsidRPr="00000000"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9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Abordajes psicosociales de la vida cotidiana:</w:t>
            </w: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 El estudio de las conversaciones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left" w:pos="576"/>
                <w:tab w:val="left" w:pos="720"/>
                <w:tab w:val="left" w:pos="14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C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Goffman, E. (2006). Introducción. </w:t>
            </w: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La presentación de la persona en la vida cotidiana</w:t>
            </w: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 (pp.</w:t>
            </w: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13-46)</w:t>
            </w: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Buenos Aires: Amorrortu </w:t>
            </w:r>
          </w:p>
          <w:p w:rsidR="00000000" w:rsidDel="00000000" w:rsidP="00000000" w:rsidRDefault="00000000" w:rsidRPr="00000000" w14:paraId="000000ED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Shotter, J. (2001). El fondo conversacional de la vida social: más allá del representacionismo.</w:t>
            </w: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 Realidades conversacionales. La construcción de la vida a través del lenguaje.</w:t>
            </w: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 Buenos Aires: Amorrortu</w:t>
            </w: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pp.35-56</w:t>
            </w:r>
          </w:p>
          <w:p w:rsidR="00000000" w:rsidDel="00000000" w:rsidP="00000000" w:rsidRDefault="00000000" w:rsidRPr="00000000" w14:paraId="000000E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left" w:pos="576"/>
                <w:tab w:val="left" w:pos="720"/>
                <w:tab w:val="left" w:pos="1440"/>
              </w:tabs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9" w:hRule="atLeast"/>
          <w:tblHeader w:val="0"/>
        </w:trPr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0F0">
            <w:pPr>
              <w:jc w:val="center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Sesión 11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1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2 de Junio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2">
            <w:pPr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Taller de análisis de la vida cotidiana: </w:t>
            </w: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Presentación de registros y revisión teórica (3 grupos)</w:t>
            </w:r>
          </w:p>
          <w:p w:rsidR="00000000" w:rsidDel="00000000" w:rsidP="00000000" w:rsidRDefault="00000000" w:rsidRPr="00000000" w14:paraId="000000F3">
            <w:pPr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5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left" w:pos="576"/>
                <w:tab w:val="left" w:pos="720"/>
                <w:tab w:val="left" w:pos="1440"/>
              </w:tabs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0F6">
            <w:pPr>
              <w:jc w:val="center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Sesión 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7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9 de Junio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8">
            <w:pPr>
              <w:jc w:val="both"/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Taller lectura: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Trabajo de síntesis</w:t>
            </w:r>
          </w:p>
          <w:p w:rsidR="00000000" w:rsidDel="00000000" w:rsidP="00000000" w:rsidRDefault="00000000" w:rsidRPr="00000000" w14:paraId="000000FA">
            <w:pPr>
              <w:jc w:val="both"/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C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0FD">
            <w:pPr>
              <w:jc w:val="center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Sesión 13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E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16 de Junio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F">
            <w:pPr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Taller de análisis de la vida cotidiana: </w:t>
            </w: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Construcción de codificaciones y categorías (3 grupos)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0">
            <w:pPr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" w:hRule="atLeast"/>
          <w:tblHeader w:val="0"/>
        </w:trPr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101">
            <w:pPr>
              <w:jc w:val="center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Sesión 14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2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23 de Junio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3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Taller de análisis de la vida cotidiana: </w:t>
            </w: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Construcción de codificaciones y categorías (3 grupos)</w:t>
            </w:r>
          </w:p>
          <w:p w:rsidR="00000000" w:rsidDel="00000000" w:rsidP="00000000" w:rsidRDefault="00000000" w:rsidRPr="00000000" w14:paraId="00000104">
            <w:pPr>
              <w:jc w:val="both"/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5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" w:hRule="atLeast"/>
          <w:tblHeader w:val="0"/>
        </w:trPr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106">
            <w:pPr>
              <w:jc w:val="center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Sesión 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7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30 de Junio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8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Taller de análisis de la vida cotidiana</w:t>
            </w: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: Análisis de registros de observaciones (3 grupos)</w:t>
            </w:r>
          </w:p>
          <w:p w:rsidR="00000000" w:rsidDel="00000000" w:rsidP="00000000" w:rsidRDefault="00000000" w:rsidRPr="00000000" w14:paraId="00000109">
            <w:pPr>
              <w:jc w:val="both"/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A">
            <w:pPr>
              <w:jc w:val="both"/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" w:hRule="atLeast"/>
          <w:tblHeader w:val="0"/>
        </w:trPr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10B">
            <w:pPr>
              <w:jc w:val="center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Sesión 16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C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7 de Julio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D">
            <w:pPr>
              <w:jc w:val="both"/>
              <w:rPr>
                <w:rFonts w:ascii="Garamond" w:cs="Garamond" w:eastAsia="Garamond" w:hAnsi="Garamond"/>
                <w:i w:val="0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i w:val="1"/>
                <w:vertAlign w:val="baseline"/>
                <w:rtl w:val="0"/>
              </w:rPr>
              <w:t xml:space="preserve">Taller de análisis de la vida cotidiana: </w:t>
            </w: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Análisis de registros de observaciones (3 grupos)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E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" w:hRule="atLeast"/>
          <w:tblHeader w:val="0"/>
        </w:trPr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10F">
            <w:pPr>
              <w:jc w:val="center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Sesión 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0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14 de Julio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1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vertAlign w:val="baseline"/>
                <w:rtl w:val="0"/>
              </w:rPr>
              <w:t xml:space="preserve">Presentación “Análisis de la vida cotidiana”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2">
            <w:pPr>
              <w:jc w:val="both"/>
              <w:rPr>
                <w:rFonts w:ascii="Garamond" w:cs="Garamond" w:eastAsia="Garamond" w:hAnsi="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3">
      <w:pPr>
        <w:jc w:val="center"/>
        <w:rPr>
          <w:rFonts w:ascii="Calibri" w:cs="Calibri" w:eastAsia="Calibri" w:hAnsi="Calibri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rFonts w:ascii="Calibri" w:cs="Calibri" w:eastAsia="Calibri" w:hAnsi="Calibri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rFonts w:ascii="Calibri" w:cs="Calibri" w:eastAsia="Calibri" w:hAnsi="Calibri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Nanum Gothic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▪"/>
      <w:lvlJc w:val="left"/>
      <w:pPr>
        <w:ind w:left="1068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✔"/>
      <w:lvlJc w:val="left"/>
      <w:pPr>
        <w:ind w:left="1788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2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decimal"/>
      <w:lvlText w:val="%1.▪.%3."/>
      <w:lvlJc w:val="left"/>
      <w:pPr>
        <w:ind w:left="2160" w:hanging="720"/>
      </w:pPr>
      <w:rPr>
        <w:vertAlign w:val="baseline"/>
      </w:rPr>
    </w:lvl>
    <w:lvl w:ilvl="3">
      <w:start w:val="1"/>
      <w:numFmt w:val="decimal"/>
      <w:lvlText w:val="%1.▪.%3.%4."/>
      <w:lvlJc w:val="left"/>
      <w:pPr>
        <w:ind w:left="2880" w:hanging="720"/>
      </w:pPr>
      <w:rPr>
        <w:vertAlign w:val="baseline"/>
      </w:rPr>
    </w:lvl>
    <w:lvl w:ilvl="4">
      <w:start w:val="1"/>
      <w:numFmt w:val="decimal"/>
      <w:lvlText w:val="%1.▪.%3.%4.%5."/>
      <w:lvlJc w:val="left"/>
      <w:pPr>
        <w:ind w:left="3960" w:hanging="1080"/>
      </w:pPr>
      <w:rPr>
        <w:vertAlign w:val="baseline"/>
      </w:rPr>
    </w:lvl>
    <w:lvl w:ilvl="5">
      <w:start w:val="1"/>
      <w:numFmt w:val="decimal"/>
      <w:lvlText w:val="%1.▪.%3.%4.%5.%6."/>
      <w:lvlJc w:val="left"/>
      <w:pPr>
        <w:ind w:left="4680" w:hanging="1080"/>
      </w:pPr>
      <w:rPr>
        <w:vertAlign w:val="baseline"/>
      </w:rPr>
    </w:lvl>
    <w:lvl w:ilvl="6">
      <w:start w:val="1"/>
      <w:numFmt w:val="decimal"/>
      <w:lvlText w:val="%1.▪.%3.%4.%5.%6.%7."/>
      <w:lvlJc w:val="left"/>
      <w:pPr>
        <w:ind w:left="5760" w:hanging="1440"/>
      </w:pPr>
      <w:rPr>
        <w:vertAlign w:val="baseline"/>
      </w:rPr>
    </w:lvl>
    <w:lvl w:ilvl="7">
      <w:start w:val="1"/>
      <w:numFmt w:val="decimal"/>
      <w:lvlText w:val="%1.▪.%3.%4.%5.%6.%7.%8."/>
      <w:lvlJc w:val="left"/>
      <w:pPr>
        <w:ind w:left="6480" w:hanging="1440"/>
      </w:pPr>
      <w:rPr>
        <w:vertAlign w:val="baseline"/>
      </w:rPr>
    </w:lvl>
    <w:lvl w:ilvl="8">
      <w:start w:val="1"/>
      <w:numFmt w:val="decimal"/>
      <w:lvlText w:val="%1.▪.%3.%4.%5.%6.%7.%8.%9."/>
      <w:lvlJc w:val="left"/>
      <w:pPr>
        <w:ind w:left="7560" w:hanging="1800"/>
      </w:pPr>
      <w:rPr>
        <w:vertAlign w:val="baseline"/>
      </w:rPr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7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8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9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Nanum Gothic" w:cs="Nanum Gothic" w:eastAsia="Nanum Gothic" w:hAnsi="Nanum Gothic"/>
        <w:lang w:val="es-C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s-CL" w:val="es-CL"/>
    </w:rPr>
  </w:style>
  <w:style w:type="paragraph" w:styleId="Título3">
    <w:name w:val="Título 3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2"/>
    </w:pPr>
    <w:rPr>
      <w:rFonts w:ascii="Times New Roman" w:cs="Times New Roman" w:hAnsi="Times New Roman"/>
      <w:w w:val="100"/>
      <w:position w:val="-1"/>
      <w:sz w:val="24"/>
      <w:szCs w:val="24"/>
      <w:u w:val="single"/>
      <w:effect w:val="none"/>
      <w:vertAlign w:val="baseline"/>
      <w:cs w:val="0"/>
      <w:em w:val="none"/>
      <w:lang w:bidi="ar-SA" w:eastAsia="en-US" w:val="en-U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normal"/>
      <w:jc w:val="left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Ref.denotaalpie">
    <w:name w:val="Ref. de nota al pie"/>
    <w:next w:val="Ref.denotaalpie"/>
    <w:autoRedefine w:val="0"/>
    <w:hidden w:val="0"/>
    <w:qFormat w:val="1"/>
    <w:rPr>
      <w:w w:val="100"/>
      <w:position w:val="-1"/>
      <w:effect w:val="none"/>
      <w:vertAlign w:val="superscript"/>
      <w:cs w:val="0"/>
      <w:em w:val="none"/>
      <w:lang/>
    </w:rPr>
  </w:style>
  <w:style w:type="character" w:styleId="Hipervínculo">
    <w:name w:val="Hipervínculo"/>
    <w:next w:val="Hipervínculo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ítulo3Car">
    <w:name w:val="Título 3 Car"/>
    <w:next w:val="Título3Car"/>
    <w:autoRedefine w:val="0"/>
    <w:hidden w:val="0"/>
    <w:qFormat w:val="0"/>
    <w:rPr>
      <w:rFonts w:ascii="Times New Roman" w:cs="Times New Roman" w:hAnsi="Times New Roman"/>
      <w:w w:val="100"/>
      <w:position w:val="-1"/>
      <w:sz w:val="24"/>
      <w:szCs w:val="24"/>
      <w:u w:val="single"/>
      <w:effect w:val="none"/>
      <w:vertAlign w:val="baseline"/>
      <w:cs w:val="0"/>
      <w:em w:val="none"/>
      <w:lang w:eastAsia="en-US" w:val="en-US"/>
    </w:rPr>
  </w:style>
  <w:style w:type="character" w:styleId="TextonotapieCar">
    <w:name w:val="Texto nota pie Car"/>
    <w:basedOn w:val="Fuentedepárrafopredeter."/>
    <w:next w:val="TextonotapieC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Textocomentario">
    <w:name w:val="Texto comentario"/>
    <w:basedOn w:val="Normal"/>
    <w:next w:val="Textocomentario"/>
    <w:autoRedefine w:val="0"/>
    <w:hidden w:val="0"/>
    <w:qFormat w:val="1"/>
    <w:pPr>
      <w:suppressAutoHyphens w:val="1"/>
      <w:spacing w:line="1" w:lineRule="atLeast"/>
      <w:ind w:leftChars="-1" w:rightChars="0" w:firstLineChars="-1"/>
      <w:jc w:val="left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s-CL" w:val="es-CL"/>
    </w:rPr>
  </w:style>
  <w:style w:type="paragraph" w:styleId="Textonotapie">
    <w:name w:val="Texto nota pie"/>
    <w:basedOn w:val="Normal"/>
    <w:next w:val="Textonotapi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s-CL" w:val="es-CL"/>
    </w:rPr>
  </w:style>
  <w:style w:type="table" w:styleId="Tablaconcuadrícula">
    <w:name w:val="Tabla con cuadrícula"/>
    <w:basedOn w:val="Tablanormal"/>
    <w:next w:val="Tablaconcuadrícu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concuadrícula"/>
      <w:tblStyleRowBandSize w:val="1"/>
      <w:tblStyleColBandSize w:val="1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deglobo">
    <w:name w:val="Texto de globo"/>
    <w:basedOn w:val="Normal"/>
    <w:next w:val="Textodeglob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CL" w:val="es-CL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://dx.doi.org/10.1590/1807-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NanumGothic-regular.ttf"/><Relationship Id="rId6" Type="http://schemas.openxmlformats.org/officeDocument/2006/relationships/font" Target="fonts/Nanum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lIw+5GP8OMefZEcgZUBoTAup0w==">AMUW2mWtoGmRqCLRrN8T+enEdMGdhj4BrcNMp61jx1NvkKjFY490co4z6/jgBVWcAH/KMVm2wg4mH6k5jp8huDFR4B+wWjSkD3egc5KByL7nj9wJ0nJCh+I=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2022-01-19T20:52:00Z</dcterms:created>
  <dc:creator>Rodrigo As?n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KSOProductBuildVer">
    <vt:lpstr>1033-11.2.0.9669</vt:lpstr>
  </property>
</Properties>
</file>