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Programa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Ergonomía Cognitiva y Organizacional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tbl>
      <w:tblPr>
        <w:tblStyle w:val="Table1"/>
        <w:tblW w:w="8654.0" w:type="dxa"/>
        <w:jc w:val="left"/>
        <w:tblInd w:w="-5.0" w:type="dxa"/>
        <w:tblLayout w:type="fixed"/>
        <w:tblLook w:val="0000"/>
      </w:tblPr>
      <w:tblGrid>
        <w:gridCol w:w="2628"/>
        <w:gridCol w:w="6026"/>
        <w:tblGridChange w:id="0">
          <w:tblGrid>
            <w:gridCol w:w="2628"/>
            <w:gridCol w:w="602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Identificación de la actividad curricular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Carrera en que se dicta: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Psicología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Profesor o equipo: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Dr. Carlos Díaz Cánepa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Ciclo al que pertenece: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Especialización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Semestre: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Modalidad: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Presencial/Online según las condiciones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Carácter: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Optativo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Pre-requisitos: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Psicología del Trabajo y las Organizaciones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Año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Descripción / Justificación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actividad humana en las organizaciones y el trabajo se encuentran significativamente mediadas por las características estructurales de diseños y de modalidades de articulación de los elementos con que las personas deben lidiar para el logro de sus propósitos. Revisar los fundamentos conceptuales de los factores que animan la actividad humana y las lógicas de acción organizacional y laboral resultan críticas para avanzar en un diseño que permita congeniar los requerimientos de desarrollo de las personas y de las organizaciones.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Objetivos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curso tiene por objetivo introducir los conceptos, modelos y herramientas de análisis e intervención de los sistemas organizacionales y herramientas de trabajo, desde la perspectiva de la ergonomía cognitiva.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enfatiza el carácter propositivo y mediado de la actividad humana en tanto que centro del análisis de los procesos que definen el quehacer laboral.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asume una perspectiva antropocéntrica, con base a la cual se busca diseñar el trabajo y los sistemas organizacionales.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IV. Temáticas o contenidos de la actividad curricular</w:t>
            </w:r>
          </w:p>
        </w:tc>
      </w:tr>
      <w:tr>
        <w:trPr>
          <w:cantSplit w:val="0"/>
          <w:trHeight w:val="130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132833" cy="349833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2833" cy="3498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Metodología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32255" cy="626745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255" cy="6267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Evaluación de la actividad curricular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Análisis bibliográfico: ficha y presentación 30%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Estudio de caso en práctico: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Presentación del diagnóstico 35%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Presentación propuesta de intervención 35%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VII. Bibliografía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"/>
              </w:tabs>
              <w:spacing w:after="120" w:before="120" w:line="240" w:lineRule="auto"/>
              <w:ind w:left="450" w:right="17" w:hanging="45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Básica: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7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Castillo J.J. y Villena J. (editores), (1998) “Ergonomía conceptos y métodos”,  Editorial Complutense, Madrid.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17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Charlton, S. O ́Brien, T. (2002) Handbook of Human Factors Testing and Evaluation. Lawrence Erlbaum Associates Publishers.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7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Diaz C. (2002). Enfoque sistémico en Análisis de Trabajo: Algunos Elementos Teóricos y una Ilustración Empírica.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Psykhe: Revista de la Escuela de Psicologia,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(2), 43-54.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17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Díaz C. (2005). Transfering Technologies to Developing Countries: a Cognitive and Cultural Approach in Intelligence &amp; Technology, R. J. Sternberg &amp; D. Preiss C. (Ed.), Lawrence Erelbaum, NewYork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7" w:right="17" w:hanging="35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Díaz Cánepa, C. (2008). Actividad, Contexto Organizacional y Competencias. Revista Psicología Organizacional Humana no2, Revista de la Escuela de Psicología de la UAI, Santiago de Chile 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7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Díaz Cánepa, C. (2010). Actividad laboral y carga mental. Revista Ciencia y Trabajo de la ACHS. Nº36, p.281-292, Santiago de Chile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7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Díaz Cánepa, C. (2011). Dinámicas Organizacionales de Producción Incremental de Carga de Trabajo: Influencia de los roles, reglas y artefactos en la articulación de la actividad laboral. Revista electrónica Laboreal, Vol. VII · No2 · pp. 25-38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7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Díaz Cánepa, C. (2013). Carga mental. Revista Laboreal. Volumen IX · Nº1,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pp. 109-112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7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Falzon, P (Dir.) (2004). Ergonomie. Paris:PUF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17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Leplat J. (1992). “L’Analyse du travail en psychologie ergonomique”, Octares, Toulouse.</w:t>
            </w:r>
          </w:p>
          <w:p w:rsidR="00000000" w:rsidDel="00000000" w:rsidP="00000000" w:rsidRDefault="00000000" w:rsidRPr="00000000" w14:paraId="00000052">
            <w:pPr>
              <w:widowControl w:val="1"/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Hoffman, R. Y Militello, L. (2009). Perspectives on cognitive task analysis. N.Y.: Psychology Press-Taylor&amp;Francis Group</w:t>
            </w:r>
          </w:p>
          <w:p w:rsidR="00000000" w:rsidDel="00000000" w:rsidP="00000000" w:rsidRDefault="00000000" w:rsidRPr="00000000" w14:paraId="00000053">
            <w:pPr>
              <w:widowControl w:val="1"/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Hollnagel, E. (1991) Cognitive Ergonomics and the reliability of cognition.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Le Travail humain.</w:t>
            </w:r>
            <w:r w:rsidDel="00000000" w:rsidR="00000000" w:rsidRPr="00000000">
              <w:rPr>
                <w:color w:val="000000"/>
                <w:rtl w:val="0"/>
              </w:rPr>
              <w:t xml:space="preserve"> 54, nº 4, ps. 305-321.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Hutchins, E. (1997). Mediation and Automatization. In M. Cole, Y. Engestrom. &amp; O. Vasquez. Mind, Culture and Activity (ps. 338-353). New York: Cambridge University Press.</w:t>
            </w:r>
          </w:p>
          <w:p w:rsidR="00000000" w:rsidDel="00000000" w:rsidP="00000000" w:rsidRDefault="00000000" w:rsidRPr="00000000" w14:paraId="00000055">
            <w:pPr>
              <w:widowControl w:val="1"/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Nardie, B. Ed. (1995). Context and consciousness: activity theory and human-computer interaction. The MIT Press.</w:t>
            </w:r>
          </w:p>
          <w:p w:rsidR="00000000" w:rsidDel="00000000" w:rsidP="00000000" w:rsidRDefault="00000000" w:rsidRPr="00000000" w14:paraId="00000056">
            <w:pPr>
              <w:widowControl w:val="1"/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Norman D. (1990) The design of everyday things. N.Y., Basic Books.</w:t>
            </w:r>
          </w:p>
          <w:p w:rsidR="00000000" w:rsidDel="00000000" w:rsidP="00000000" w:rsidRDefault="00000000" w:rsidRPr="00000000" w14:paraId="00000057">
            <w:pPr>
              <w:widowControl w:val="1"/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Norman D. (2000) El ordenador invisible, Paidos. Barcelona</w:t>
            </w:r>
          </w:p>
          <w:p w:rsidR="00000000" w:rsidDel="00000000" w:rsidP="00000000" w:rsidRDefault="00000000" w:rsidRPr="00000000" w14:paraId="00000058">
            <w:pPr>
              <w:widowControl w:val="1"/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Rabardel, P. (1995), “Les hommes et les technologies: approche cognitive des instruments contemporains”, A. Colin, París</w:t>
            </w:r>
          </w:p>
          <w:p w:rsidR="00000000" w:rsidDel="00000000" w:rsidP="00000000" w:rsidRDefault="00000000" w:rsidRPr="00000000" w14:paraId="00000059">
            <w:pPr>
              <w:widowControl w:val="1"/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 Rasmussen, J. (1993) Analysis of tasks, activities and work in the field and in laboratories. </w:t>
            </w:r>
            <w:r w:rsidDel="00000000" w:rsidR="00000000" w:rsidRPr="00000000">
              <w:rPr>
                <w:i w:val="1"/>
                <w:rtl w:val="0"/>
              </w:rPr>
              <w:t xml:space="preserve">Le Travail humain.</w:t>
            </w:r>
            <w:r w:rsidDel="00000000" w:rsidR="00000000" w:rsidRPr="00000000">
              <w:rPr>
                <w:rtl w:val="0"/>
              </w:rPr>
              <w:t xml:space="preserve"> 56, nº 2-3, ps. 133-155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ind w:left="357" w:hanging="357"/>
              <w:rPr/>
            </w:pPr>
            <w:r w:rsidDel="00000000" w:rsidR="00000000" w:rsidRPr="00000000">
              <w:rPr>
                <w:rtl w:val="0"/>
              </w:rPr>
              <w:t xml:space="preserve">Reason, J. (1990). Human Error. Cambridge University Press.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ind w:left="357" w:hanging="357"/>
              <w:rPr/>
            </w:pPr>
            <w:r w:rsidDel="00000000" w:rsidR="00000000" w:rsidRPr="00000000">
              <w:rPr>
                <w:rtl w:val="0"/>
              </w:rPr>
              <w:t xml:space="preserve">Rubio, S., Díaz, E.M. y Martín, J. (2001). Aspectos metodológicos de la evaluación subjetiva de la carga mental de trabajo. Arch Prev Riesgos Labor 2001;4(4):160-168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ind w:left="357" w:hanging="357"/>
              <w:rPr/>
            </w:pPr>
            <w:r w:rsidDel="00000000" w:rsidR="00000000" w:rsidRPr="00000000">
              <w:rPr>
                <w:rtl w:val="0"/>
              </w:rPr>
              <w:t xml:space="preserve">Wilson, J.R. y Corlett, N. (Ed.). (2005). Evaluation of Human Work, Boca ratón, FL: CRC Press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ind w:left="357" w:hanging="357"/>
              <w:rPr/>
            </w:pPr>
            <w:r w:rsidDel="00000000" w:rsidR="00000000" w:rsidRPr="00000000">
              <w:rPr>
                <w:rtl w:val="0"/>
              </w:rPr>
              <w:t xml:space="preserve">Schraagen, J. M.; Chipman, S. F; Chalin. V. L. (2000). Cognitive Task Analysis.New Jersey: Lawrence Erlbaum. </w:t>
            </w:r>
          </w:p>
          <w:p w:rsidR="00000000" w:rsidDel="00000000" w:rsidP="00000000" w:rsidRDefault="00000000" w:rsidRPr="00000000" w14:paraId="0000005E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Revistas: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Laboreal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Theoretical Issues in Ergonomics Science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Human factors in ergonomics &amp; manufacturing 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Applied ergonomics 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Ergonomics </w:t>
            </w:r>
          </w:p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 Travail Humain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6096"/>
        <w:tblGridChange w:id="0">
          <w:tblGrid>
            <w:gridCol w:w="2977"/>
            <w:gridCol w:w="609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6B">
            <w:pPr>
              <w:pStyle w:val="Heading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Style w:val="Heading5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MAPA TENTATIVO DEL CURSO: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Ergonomía Cognitiva 2022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Profesor:</w:t>
            </w:r>
            <w:r w:rsidDel="00000000" w:rsidR="00000000" w:rsidRPr="00000000">
              <w:rPr>
                <w:rtl w:val="0"/>
              </w:rPr>
              <w:t xml:space="preserve"> Dr. Carlos Díaz Canepa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ind w:right="1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Sesión 1</w:t>
            </w:r>
          </w:p>
        </w:tc>
        <w:tc>
          <w:tcPr/>
          <w:p w:rsidR="00000000" w:rsidDel="00000000" w:rsidP="00000000" w:rsidRDefault="00000000" w:rsidRPr="00000000" w14:paraId="0000007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Introducción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Presentación del programa 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Compromisos de funcionamiento del curso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ind w:right="1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Sesión 2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Actividad Humana; Los Sistemas de Actividad; Mediación instrumental; Las Prescripciones; Los Niveles de Análisis de la Actividad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Sesión 3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Representación Mental y Carga Mental de Trabajo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Sesión 4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Casos de intervenciones correctivas: Lógicas y metodologías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Sesión 5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20" w:before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Receso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Sesión 6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Evaluación de la carga mental: casos y métodos 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Sesión 7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Presentación de Trabajo Bibliográfico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Sesión 8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358" w:hanging="3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Presentación de Trabajo Bibliográfico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Sesión 9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right="358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Receso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Sesión 10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right="35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Competencias y Experticia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Sesión 11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20" w:before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Presentaciones de Primera parte del Caso Práctico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Sesión 12</w:t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34" w:right="358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Presentaciones de Primera parte del Caso Práctico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Sesión 13</w:t>
            </w:r>
          </w:p>
        </w:tc>
        <w:tc>
          <w:tcPr/>
          <w:p w:rsidR="00000000" w:rsidDel="00000000" w:rsidP="00000000" w:rsidRDefault="00000000" w:rsidRPr="00000000" w14:paraId="0000008A">
            <w:pPr>
              <w:ind w:right="358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Considerar las tecnologías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trabajo colectivo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Sesión 14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Receso</w:t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Sesión 15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Presentaciones de Segunda parte del Caso de Terreno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Sesión 16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Presentaciones de Segunda parte del Caso de Terreno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Sesión 17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Presentaciones de Segunda parte del Caso de Terreno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Sesión 18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Examen</w:t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5840" w:w="12240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ind w:firstLine="708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ind w:firstLine="708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Universidad de Chile 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-121284</wp:posOffset>
          </wp:positionV>
          <wp:extent cx="323215" cy="685165"/>
          <wp:effectExtent b="0" l="0" r="0" t="0"/>
          <wp:wrapSquare wrapText="bothSides" distB="0" distT="0" distL="114935" distR="114935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3215" cy="685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A">
    <w:pPr>
      <w:ind w:firstLine="708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Facultad de Ciencias Sociales</w:t>
    </w:r>
  </w:p>
  <w:p w:rsidR="00000000" w:rsidDel="00000000" w:rsidP="00000000" w:rsidRDefault="00000000" w:rsidRPr="00000000" w14:paraId="0000009B">
    <w:pPr>
      <w:ind w:firstLine="708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Escuela de Ciencias Sociales</w:t>
    </w:r>
  </w:p>
  <w:p w:rsidR="00000000" w:rsidDel="00000000" w:rsidP="00000000" w:rsidRDefault="00000000" w:rsidRPr="00000000" w14:paraId="0000009C">
    <w:pPr>
      <w:ind w:firstLine="708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Carrera de Psicología</w:t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1"/>
      <w:jc w:val="both"/>
    </w:pPr>
    <w:rPr>
      <w:rFonts w:ascii="Times" w:cs="Times" w:eastAsia="Times" w:hAnsi="Times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1"/>
      <w:ind w:right="175"/>
      <w:jc w:val="center"/>
    </w:pPr>
    <w:rPr>
      <w:rFonts w:ascii="Times" w:cs="Times" w:eastAsia="Times" w:hAnsi="Times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Default"/>
    <w:qFormat w:val="1"/>
    <w:rsid w:val="000F7C1C"/>
    <w:pPr>
      <w:widowControl w:val="0"/>
      <w:suppressAutoHyphens w:val="1"/>
      <w:autoSpaceDE w:val="0"/>
    </w:pPr>
    <w:rPr>
      <w:rFonts w:ascii="Times New Roman" w:cs="Times New Roman" w:eastAsia="Times New Roman" w:hAnsi="Times New Roman"/>
      <w:lang w:eastAsia="ar-SA" w:val="es-ES"/>
    </w:rPr>
  </w:style>
  <w:style w:type="paragraph" w:styleId="Ttulo2">
    <w:name w:val="heading 2"/>
    <w:basedOn w:val="Normal"/>
    <w:next w:val="Normal"/>
    <w:link w:val="Ttulo2Car"/>
    <w:qFormat w:val="1"/>
    <w:rsid w:val="00B005E5"/>
    <w:pPr>
      <w:keepNext w:val="1"/>
      <w:widowControl w:val="1"/>
      <w:suppressAutoHyphens w:val="0"/>
      <w:autoSpaceDE w:val="1"/>
      <w:jc w:val="both"/>
      <w:outlineLvl w:val="1"/>
    </w:pPr>
    <w:rPr>
      <w:rFonts w:ascii="Times" w:eastAsia="Times" w:hAnsi="Times"/>
      <w:b w:val="1"/>
      <w:szCs w:val="20"/>
      <w:lang w:eastAsia="es-ES_tradnl" w:val="es-ES_tradnl"/>
    </w:rPr>
  </w:style>
  <w:style w:type="paragraph" w:styleId="Ttulo5">
    <w:name w:val="heading 5"/>
    <w:basedOn w:val="Normal"/>
    <w:next w:val="Normal"/>
    <w:link w:val="Ttulo5Car"/>
    <w:qFormat w:val="1"/>
    <w:rsid w:val="00B005E5"/>
    <w:pPr>
      <w:keepNext w:val="1"/>
      <w:widowControl w:val="1"/>
      <w:suppressAutoHyphens w:val="0"/>
      <w:autoSpaceDE w:val="1"/>
      <w:ind w:right="175"/>
      <w:jc w:val="center"/>
      <w:outlineLvl w:val="4"/>
    </w:pPr>
    <w:rPr>
      <w:rFonts w:ascii="Times" w:eastAsia="Times" w:hAnsi="Times"/>
      <w:b w:val="1"/>
      <w:szCs w:val="20"/>
      <w:lang w:eastAsia="es-ES_tradnl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0F7C1C"/>
    <w:pPr>
      <w:widowControl w:val="0"/>
      <w:suppressAutoHyphens w:val="1"/>
      <w:autoSpaceDE w:val="0"/>
    </w:pPr>
    <w:rPr>
      <w:rFonts w:ascii="Times New Roman" w:cs="Times New Roman" w:eastAsia="Arial" w:hAnsi="Times New Roman"/>
      <w:color w:val="000000"/>
      <w:lang w:eastAsia="ar-SA" w:val="es-ES"/>
    </w:rPr>
  </w:style>
  <w:style w:type="paragraph" w:styleId="Encabezado">
    <w:name w:val="header"/>
    <w:basedOn w:val="Normal"/>
    <w:link w:val="EncabezadoCar"/>
    <w:rsid w:val="000F7C1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0F7C1C"/>
    <w:rPr>
      <w:rFonts w:ascii="Times New Roman" w:cs="Times New Roman" w:eastAsia="Times New Roman" w:hAnsi="Times New Roman"/>
      <w:lang w:eastAsia="ar-SA" w:val="es-ES"/>
    </w:rPr>
  </w:style>
  <w:style w:type="paragraph" w:styleId="seccion" w:customStyle="1">
    <w:name w:val="seccion"/>
    <w:basedOn w:val="Normal"/>
    <w:rsid w:val="000F7C1C"/>
    <w:pPr>
      <w:widowControl w:val="1"/>
      <w:tabs>
        <w:tab w:val="left" w:pos="450"/>
      </w:tabs>
      <w:suppressAutoHyphens w:val="0"/>
      <w:autoSpaceDE w:val="1"/>
      <w:spacing w:after="120" w:before="120"/>
      <w:ind w:left="450" w:right="17" w:hanging="450"/>
      <w:jc w:val="both"/>
    </w:pPr>
    <w:rPr>
      <w:rFonts w:ascii="Times" w:eastAsia="Times" w:hAnsi="Times"/>
      <w:szCs w:val="20"/>
      <w:lang w:eastAsia="es-CL" w:val="es-ES_tradnl"/>
    </w:rPr>
  </w:style>
  <w:style w:type="paragraph" w:styleId="miparrafo" w:customStyle="1">
    <w:name w:val="miparrafo"/>
    <w:basedOn w:val="Normal"/>
    <w:rsid w:val="000F7C1C"/>
    <w:pPr>
      <w:widowControl w:val="1"/>
      <w:suppressAutoHyphens w:val="0"/>
      <w:autoSpaceDE w:val="1"/>
      <w:spacing w:before="120"/>
      <w:ind w:left="450" w:right="17" w:hanging="450"/>
      <w:jc w:val="both"/>
    </w:pPr>
    <w:rPr>
      <w:rFonts w:ascii="Times" w:eastAsia="Times" w:hAnsi="Times"/>
      <w:sz w:val="20"/>
      <w:szCs w:val="20"/>
      <w:lang w:eastAsia="es-CL"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F7C1C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F7C1C"/>
    <w:rPr>
      <w:rFonts w:ascii="Lucida Grande" w:cs="Lucida Grande" w:eastAsia="Times New Roman" w:hAnsi="Lucida Grande"/>
      <w:sz w:val="18"/>
      <w:szCs w:val="18"/>
      <w:lang w:eastAsia="ar-SA" w:val="es-ES"/>
    </w:rPr>
  </w:style>
  <w:style w:type="paragraph" w:styleId="Prrafodelista">
    <w:name w:val="List Paragraph"/>
    <w:basedOn w:val="Normal"/>
    <w:uiPriority w:val="34"/>
    <w:qFormat w:val="1"/>
    <w:rsid w:val="004D1065"/>
    <w:pPr>
      <w:ind w:left="720"/>
      <w:contextualSpacing w:val="1"/>
    </w:pPr>
  </w:style>
  <w:style w:type="character" w:styleId="Ttulo2Car" w:customStyle="1">
    <w:name w:val="Título 2 Car"/>
    <w:basedOn w:val="Fuentedeprrafopredeter"/>
    <w:link w:val="Ttulo2"/>
    <w:rsid w:val="00B005E5"/>
    <w:rPr>
      <w:rFonts w:ascii="Times" w:cs="Times New Roman" w:eastAsia="Times" w:hAnsi="Times"/>
      <w:b w:val="1"/>
      <w:szCs w:val="20"/>
      <w:lang w:eastAsia="es-ES_tradnl"/>
    </w:rPr>
  </w:style>
  <w:style w:type="character" w:styleId="Ttulo5Car" w:customStyle="1">
    <w:name w:val="Título 5 Car"/>
    <w:basedOn w:val="Fuentedeprrafopredeter"/>
    <w:link w:val="Ttulo5"/>
    <w:rsid w:val="00B005E5"/>
    <w:rPr>
      <w:rFonts w:ascii="Times" w:cs="Times New Roman" w:eastAsia="Times" w:hAnsi="Times"/>
      <w:b w:val="1"/>
      <w:szCs w:val="20"/>
      <w:lang w:eastAsia="es-ES_tradnl"/>
    </w:rPr>
  </w:style>
  <w:style w:type="paragraph" w:styleId="Textoindependiente">
    <w:name w:val="Body Text"/>
    <w:basedOn w:val="Normal"/>
    <w:link w:val="TextoindependienteCar"/>
    <w:rsid w:val="00B005E5"/>
    <w:pPr>
      <w:widowControl w:val="1"/>
      <w:suppressAutoHyphens w:val="0"/>
      <w:autoSpaceDE w:val="1"/>
      <w:ind w:right="358"/>
      <w:jc w:val="both"/>
    </w:pPr>
    <w:rPr>
      <w:rFonts w:eastAsia="Times"/>
      <w:b w:val="1"/>
      <w:szCs w:val="20"/>
      <w:lang w:eastAsia="es-ES_tradnl" w:val="es-ES_tradnl"/>
    </w:rPr>
  </w:style>
  <w:style w:type="character" w:styleId="TextoindependienteCar" w:customStyle="1">
    <w:name w:val="Texto independiente Car"/>
    <w:basedOn w:val="Fuentedeprrafopredeter"/>
    <w:link w:val="Textoindependiente"/>
    <w:rsid w:val="00B005E5"/>
    <w:rPr>
      <w:rFonts w:ascii="Times New Roman" w:cs="Times New Roman" w:eastAsia="Times" w:hAnsi="Times New Roman"/>
      <w:b w:val="1"/>
      <w:szCs w:val="20"/>
      <w:lang w:eastAsia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r7HfaB0Z6VUxTLj4wW1DGhnUpA==">AMUW2mWJk4sObmIdXx+pLP7WGoMx4++md9B+HsjRxtkq8jwIvwDVt7TSvHQRVR0m25n4hc9wF+lDZkRkxWcvAt2n5/T/U3e7ti/tNSyFsP7PfANGvtxBxVZa3Wx/4ym3zKpOC1J7Msa/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2021-01-11T18:10:00Z</dcterms:created>
  <dc:creator>Carlos Diaz canepa</dc:creator>
</cp:coreProperties>
</file>