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FA" w:rsidRPr="00882E68" w:rsidRDefault="002772FA" w:rsidP="00B80091">
      <w:pPr>
        <w:jc w:val="center"/>
        <w:rPr>
          <w:b/>
          <w:lang w:val="es-CL"/>
        </w:rPr>
      </w:pPr>
    </w:p>
    <w:p w:rsidR="002772FA" w:rsidRPr="00882E68" w:rsidRDefault="002772FA" w:rsidP="00B80091">
      <w:pPr>
        <w:jc w:val="center"/>
        <w:rPr>
          <w:b/>
          <w:lang w:val="es-CL"/>
        </w:rPr>
      </w:pPr>
      <w:r w:rsidRPr="00882E68">
        <w:rPr>
          <w:b/>
          <w:lang w:val="es-CL"/>
        </w:rPr>
        <w:t>Programa</w:t>
      </w:r>
    </w:p>
    <w:p w:rsidR="00B80091" w:rsidRDefault="00CE71EA" w:rsidP="00CE71EA">
      <w:pPr>
        <w:jc w:val="center"/>
        <w:rPr>
          <w:b/>
          <w:lang w:val="es-CL"/>
        </w:rPr>
      </w:pPr>
      <w:r w:rsidRPr="00CE71EA">
        <w:rPr>
          <w:b/>
          <w:lang w:val="es-CL"/>
        </w:rPr>
        <w:t>Sistema de atención para adolescentes infractores de Ley en Chile</w:t>
      </w:r>
    </w:p>
    <w:p w:rsidR="00CE71EA" w:rsidRPr="00CE71EA" w:rsidRDefault="00CE71EA" w:rsidP="00CE71EA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16"/>
      </w:tblGrid>
      <w:tr w:rsidR="00B80091" w:rsidRPr="00C661A8" w:rsidTr="00C661A8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B80091" w:rsidRPr="00C661A8" w:rsidRDefault="00B80091">
            <w:pPr>
              <w:rPr>
                <w:b/>
                <w:lang w:val="es-CL"/>
              </w:rPr>
            </w:pPr>
            <w:r w:rsidRPr="00C661A8">
              <w:rPr>
                <w:b/>
                <w:lang w:val="es-CL"/>
              </w:rPr>
              <w:t>I. Identificación de la actividad curricular</w:t>
            </w:r>
          </w:p>
        </w:tc>
      </w:tr>
      <w:tr w:rsidR="00445426" w:rsidRPr="00C661A8" w:rsidTr="00C661A8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C661A8" w:rsidRDefault="00445426" w:rsidP="00445426">
            <w:pPr>
              <w:rPr>
                <w:lang w:val="es-CL"/>
              </w:rPr>
            </w:pPr>
            <w:r w:rsidRPr="00C661A8">
              <w:rPr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C661A8" w:rsidRDefault="00FB461F" w:rsidP="00445426">
            <w:pPr>
              <w:rPr>
                <w:lang w:val="es-CL"/>
              </w:rPr>
            </w:pPr>
            <w:r w:rsidRPr="00C661A8">
              <w:rPr>
                <w:lang w:val="es-CL"/>
              </w:rPr>
              <w:t>Psicología</w:t>
            </w:r>
          </w:p>
        </w:tc>
      </w:tr>
      <w:tr w:rsidR="0066786A" w:rsidRPr="00C661A8" w:rsidTr="00C661A8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86A" w:rsidRPr="00C661A8" w:rsidRDefault="0066786A" w:rsidP="0066786A">
            <w:pPr>
              <w:rPr>
                <w:lang w:val="es-CL"/>
              </w:rPr>
            </w:pPr>
            <w:r w:rsidRPr="00C661A8">
              <w:rPr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232" w:rsidRPr="00C661A8" w:rsidRDefault="00FB461F" w:rsidP="0066786A">
            <w:pPr>
              <w:rPr>
                <w:lang w:val="es-CL"/>
              </w:rPr>
            </w:pPr>
            <w:r w:rsidRPr="00C661A8">
              <w:rPr>
                <w:lang w:val="es-CL"/>
              </w:rPr>
              <w:t>Decio Mettifogo Guerrero</w:t>
            </w:r>
          </w:p>
        </w:tc>
      </w:tr>
      <w:tr w:rsidR="00445426" w:rsidRPr="00C661A8" w:rsidTr="00C661A8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C661A8" w:rsidRDefault="00445426" w:rsidP="00445426">
            <w:pPr>
              <w:rPr>
                <w:lang w:val="es-CL"/>
              </w:rPr>
            </w:pPr>
            <w:r w:rsidRPr="00C661A8"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C661A8" w:rsidRDefault="00C61F34" w:rsidP="00C61F34">
            <w:pPr>
              <w:rPr>
                <w:color w:val="FF0000"/>
                <w:lang w:val="es-CL"/>
              </w:rPr>
            </w:pPr>
            <w:r>
              <w:rPr>
                <w:lang w:val="es-CL"/>
              </w:rPr>
              <w:t>De e</w:t>
            </w:r>
            <w:r w:rsidR="0044044B" w:rsidRPr="00C661A8">
              <w:rPr>
                <w:lang w:val="es-CL"/>
              </w:rPr>
              <w:t>specialización</w:t>
            </w:r>
          </w:p>
        </w:tc>
      </w:tr>
      <w:tr w:rsidR="00445426" w:rsidRPr="00C661A8" w:rsidTr="00C661A8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C661A8" w:rsidRDefault="00445426" w:rsidP="00445426">
            <w:pPr>
              <w:rPr>
                <w:lang w:val="es-CL"/>
              </w:rPr>
            </w:pPr>
            <w:r w:rsidRPr="00C661A8"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C661A8" w:rsidRDefault="0054774A" w:rsidP="00445426">
            <w:pPr>
              <w:rPr>
                <w:lang w:val="es-CL"/>
              </w:rPr>
            </w:pPr>
            <w:r>
              <w:rPr>
                <w:lang w:val="es-CL"/>
              </w:rPr>
              <w:t>Primero</w:t>
            </w:r>
          </w:p>
        </w:tc>
      </w:tr>
      <w:tr w:rsidR="00B80091" w:rsidRPr="00C661A8" w:rsidTr="00C661A8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C661A8" w:rsidRDefault="00B80091" w:rsidP="00B80091">
            <w:pPr>
              <w:rPr>
                <w:lang w:val="es-CL"/>
              </w:rPr>
            </w:pPr>
            <w:r w:rsidRPr="00C661A8"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C661A8" w:rsidRDefault="00936451" w:rsidP="00B80091">
            <w:pPr>
              <w:rPr>
                <w:lang w:val="es-CL"/>
              </w:rPr>
            </w:pPr>
            <w:r>
              <w:rPr>
                <w:lang w:val="es-CL"/>
              </w:rPr>
              <w:t>Presencial</w:t>
            </w:r>
          </w:p>
        </w:tc>
      </w:tr>
      <w:tr w:rsidR="00B80091" w:rsidRPr="00C661A8" w:rsidTr="00C661A8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C661A8" w:rsidRDefault="00B80091" w:rsidP="00B80091">
            <w:pPr>
              <w:rPr>
                <w:lang w:val="es-CL"/>
              </w:rPr>
            </w:pPr>
            <w:r w:rsidRPr="00C661A8"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C661A8" w:rsidRDefault="00355261" w:rsidP="00B80091">
            <w:pPr>
              <w:rPr>
                <w:lang w:val="es-CL"/>
              </w:rPr>
            </w:pPr>
            <w:r>
              <w:rPr>
                <w:lang w:val="es-CL"/>
              </w:rPr>
              <w:t>Optativo</w:t>
            </w:r>
          </w:p>
        </w:tc>
      </w:tr>
      <w:tr w:rsidR="00445426" w:rsidRPr="00C661A8" w:rsidTr="00C661A8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C661A8" w:rsidRDefault="00882E68" w:rsidP="00445426">
            <w:pPr>
              <w:rPr>
                <w:lang w:val="es-CL"/>
              </w:rPr>
            </w:pPr>
            <w:r w:rsidRPr="00C661A8">
              <w:rPr>
                <w:lang w:val="es-CL"/>
              </w:rPr>
              <w:t>Pre-</w:t>
            </w:r>
            <w:r w:rsidR="00445426" w:rsidRPr="00C661A8">
              <w:rPr>
                <w:lang w:val="es-CL"/>
              </w:rPr>
              <w:t>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C661A8" w:rsidRDefault="00445426" w:rsidP="00445426">
            <w:pPr>
              <w:rPr>
                <w:lang w:val="es-CL"/>
              </w:rPr>
            </w:pPr>
          </w:p>
        </w:tc>
      </w:tr>
      <w:tr w:rsidR="00B80091" w:rsidRPr="00C661A8" w:rsidTr="00C661A8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C661A8" w:rsidRDefault="00445426" w:rsidP="00B80091">
            <w:pPr>
              <w:rPr>
                <w:lang w:val="es-CL"/>
              </w:rPr>
            </w:pPr>
            <w:r w:rsidRPr="00C661A8"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C661A8" w:rsidRDefault="00B211B1" w:rsidP="00C61F34">
            <w:pPr>
              <w:rPr>
                <w:lang w:val="es-CL"/>
              </w:rPr>
            </w:pPr>
            <w:r w:rsidRPr="00C661A8">
              <w:rPr>
                <w:lang w:val="es-CL"/>
              </w:rPr>
              <w:t>20</w:t>
            </w:r>
            <w:r w:rsidR="00480798">
              <w:rPr>
                <w:lang w:val="es-CL"/>
              </w:rPr>
              <w:t>2</w:t>
            </w:r>
            <w:r w:rsidR="00936451">
              <w:rPr>
                <w:lang w:val="es-CL"/>
              </w:rPr>
              <w:t>2</w:t>
            </w:r>
          </w:p>
        </w:tc>
      </w:tr>
      <w:tr w:rsidR="00B80091" w:rsidRPr="00C661A8" w:rsidTr="00C661A8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:rsidR="00B80091" w:rsidRPr="00C661A8" w:rsidRDefault="00B80091" w:rsidP="00B80091">
            <w:pPr>
              <w:rPr>
                <w:b/>
                <w:lang w:val="es-CL"/>
              </w:rPr>
            </w:pPr>
            <w:r w:rsidRPr="00C661A8">
              <w:rPr>
                <w:b/>
                <w:lang w:val="es-CL"/>
              </w:rPr>
              <w:t>II. Descripción / Justificación de la actividad curricular</w:t>
            </w: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882E68" w:rsidRPr="00C661A8" w:rsidRDefault="00882E68" w:rsidP="00C661A8">
            <w:pPr>
              <w:pStyle w:val="Subttulo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</w:p>
          <w:p w:rsidR="00882E68" w:rsidRPr="00C661A8" w:rsidRDefault="00FB461F" w:rsidP="00C661A8">
            <w:pPr>
              <w:pStyle w:val="Subttulo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  <w:r w:rsidRPr="00C661A8"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  <w:t>La entrada en vigencia de la ley de responsabilidad Pena</w:t>
            </w:r>
            <w:r w:rsidR="00B65B8D" w:rsidRPr="00C661A8"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  <w:t>l Adolescente el 8 de junio de 2</w:t>
            </w:r>
            <w:r w:rsidRPr="00C661A8"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  <w:t xml:space="preserve">007 forma parte de las transformaciones de la normativa vigente </w:t>
            </w:r>
            <w:r w:rsidR="00B65B8D" w:rsidRPr="00C661A8"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  <w:t>que modifica sustancialmente el campo de acción de psicólogos en el área jurídica. El desarrollo de propuestas de intervención y diseño programático exige una actualización en la formación de quienes se desempeñan en este ámbito.</w:t>
            </w:r>
          </w:p>
          <w:p w:rsidR="00882E68" w:rsidRPr="00C661A8" w:rsidRDefault="00882E68" w:rsidP="00C661A8">
            <w:pPr>
              <w:pStyle w:val="Subttulo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B80091" w:rsidRPr="00C661A8" w:rsidRDefault="00B80091" w:rsidP="00B80091">
            <w:pPr>
              <w:rPr>
                <w:b/>
                <w:lang w:val="es-CL"/>
              </w:rPr>
            </w:pPr>
            <w:r w:rsidRPr="00C661A8">
              <w:rPr>
                <w:b/>
                <w:lang w:val="es-CL"/>
              </w:rPr>
              <w:t>III. Objetivos de la actividad curricular</w:t>
            </w: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2B5776" w:rsidRPr="00C661A8" w:rsidRDefault="002B5776" w:rsidP="00C661A8">
            <w:pPr>
              <w:pStyle w:val="Subttulo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</w:p>
          <w:p w:rsidR="00B65B8D" w:rsidRPr="00C661A8" w:rsidRDefault="00B65B8D" w:rsidP="00C661A8">
            <w:pPr>
              <w:pStyle w:val="Subttulo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  <w:r w:rsidRPr="00C661A8"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  <w:t xml:space="preserve">Conocer los fundamentos de las modificaciones legales </w:t>
            </w:r>
          </w:p>
          <w:p w:rsidR="00B65B8D" w:rsidRPr="00C661A8" w:rsidRDefault="00B65B8D" w:rsidP="00C661A8">
            <w:pPr>
              <w:pStyle w:val="Subttulo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  <w:r w:rsidRPr="00C661A8"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  <w:t>Manejar los fundamentos en que se basan las intervenciones en que se ven involucrados psicólogos</w:t>
            </w:r>
          </w:p>
          <w:p w:rsidR="0066786A" w:rsidRPr="00C661A8" w:rsidRDefault="00B65B8D" w:rsidP="00C661A8">
            <w:pPr>
              <w:pStyle w:val="Subttulo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  <w:r w:rsidRPr="00C661A8"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  <w:t>Conocer los desarrollos teóricos y los programas establecidos en la Ley 20.084 de Responsabilidad Penal Adolescente.</w:t>
            </w:r>
          </w:p>
          <w:p w:rsidR="00882E68" w:rsidRPr="00C661A8" w:rsidRDefault="00882E68" w:rsidP="00C661A8">
            <w:pPr>
              <w:pStyle w:val="Subttulo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</w:p>
        </w:tc>
      </w:tr>
      <w:tr w:rsidR="00445426" w:rsidRPr="00C661A8" w:rsidTr="00C661A8">
        <w:tc>
          <w:tcPr>
            <w:tcW w:w="8644" w:type="dxa"/>
            <w:gridSpan w:val="2"/>
          </w:tcPr>
          <w:p w:rsidR="00445426" w:rsidRPr="00C661A8" w:rsidRDefault="00BE768F" w:rsidP="00445426">
            <w:pPr>
              <w:rPr>
                <w:b/>
                <w:lang w:val="es-CL"/>
              </w:rPr>
            </w:pPr>
            <w:r w:rsidRPr="00C661A8">
              <w:rPr>
                <w:b/>
                <w:lang w:val="es-CL"/>
              </w:rPr>
              <w:t>IV</w:t>
            </w:r>
            <w:r w:rsidR="00445426" w:rsidRPr="00C661A8">
              <w:rPr>
                <w:b/>
                <w:lang w:val="es-CL"/>
              </w:rPr>
              <w:t>. Temáticas o contenidos de la actividad curricular</w:t>
            </w:r>
          </w:p>
        </w:tc>
      </w:tr>
      <w:tr w:rsidR="00445426" w:rsidRPr="00C661A8" w:rsidTr="00C661A8">
        <w:tc>
          <w:tcPr>
            <w:tcW w:w="8644" w:type="dxa"/>
            <w:gridSpan w:val="2"/>
          </w:tcPr>
          <w:p w:rsidR="00AF7E6E" w:rsidRDefault="00AF7E6E" w:rsidP="00882E68">
            <w:pPr>
              <w:rPr>
                <w:lang w:val="es-CL"/>
              </w:rPr>
            </w:pPr>
          </w:p>
          <w:p w:rsidR="00882E68" w:rsidRPr="00C661A8" w:rsidRDefault="00B65B8D" w:rsidP="00882E68">
            <w:pPr>
              <w:rPr>
                <w:lang w:val="es-CL"/>
              </w:rPr>
            </w:pPr>
            <w:r w:rsidRPr="00C661A8">
              <w:rPr>
                <w:lang w:val="es-CL"/>
              </w:rPr>
              <w:t>Reforma Procesal Penal. Fundamento y actores institucionales.</w:t>
            </w:r>
          </w:p>
          <w:p w:rsidR="00B65B8D" w:rsidRPr="00C661A8" w:rsidRDefault="00B65B8D" w:rsidP="00882E68">
            <w:pPr>
              <w:rPr>
                <w:lang w:val="es-CL"/>
              </w:rPr>
            </w:pPr>
            <w:r w:rsidRPr="00C661A8">
              <w:rPr>
                <w:lang w:val="es-CL"/>
              </w:rPr>
              <w:t>Sistema de atención de infancia en Chile.</w:t>
            </w:r>
          </w:p>
          <w:p w:rsidR="00B65B8D" w:rsidRPr="00C661A8" w:rsidRDefault="00B65B8D" w:rsidP="00882E68">
            <w:pPr>
              <w:rPr>
                <w:lang w:val="es-CL"/>
              </w:rPr>
            </w:pPr>
            <w:r w:rsidRPr="00C661A8">
              <w:rPr>
                <w:lang w:val="es-CL"/>
              </w:rPr>
              <w:t>Ley de Responsabilidad Penal Adolescente. Fundamento, contenidos y propósito.</w:t>
            </w:r>
          </w:p>
          <w:p w:rsidR="00B65B8D" w:rsidRPr="00C661A8" w:rsidRDefault="00B65B8D" w:rsidP="00882E68">
            <w:pPr>
              <w:rPr>
                <w:lang w:val="es-CL"/>
              </w:rPr>
            </w:pPr>
            <w:r w:rsidRPr="00C661A8">
              <w:rPr>
                <w:lang w:val="es-CL"/>
              </w:rPr>
              <w:t>Sistema comparado de intervención con adolescentes con infractores de ley</w:t>
            </w:r>
          </w:p>
          <w:p w:rsidR="00B65B8D" w:rsidRDefault="00B65B8D" w:rsidP="00882E68">
            <w:pPr>
              <w:rPr>
                <w:lang w:val="es-CL"/>
              </w:rPr>
            </w:pPr>
            <w:r w:rsidRPr="00C661A8">
              <w:rPr>
                <w:lang w:val="es-CL"/>
              </w:rPr>
              <w:t>Programas de intervención. Fundamentos, características y rol del psicólogo.</w:t>
            </w:r>
          </w:p>
          <w:p w:rsidR="00936451" w:rsidRPr="00C661A8" w:rsidRDefault="00936451" w:rsidP="00882E68">
            <w:pPr>
              <w:rPr>
                <w:lang w:val="es-CL"/>
              </w:rPr>
            </w:pPr>
            <w:r>
              <w:rPr>
                <w:lang w:val="es-CL"/>
              </w:rPr>
              <w:t>Servicio Nacional de Reinserción Social Juvenil.</w:t>
            </w:r>
          </w:p>
          <w:p w:rsidR="00882E68" w:rsidRPr="00C661A8" w:rsidRDefault="00882E68" w:rsidP="00882E68">
            <w:pPr>
              <w:rPr>
                <w:lang w:val="es-CL"/>
              </w:rPr>
            </w:pP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B80091" w:rsidRPr="00C661A8" w:rsidRDefault="00B80091" w:rsidP="00B80091">
            <w:pPr>
              <w:rPr>
                <w:b/>
                <w:lang w:val="es-CL"/>
              </w:rPr>
            </w:pPr>
            <w:r w:rsidRPr="00C661A8">
              <w:rPr>
                <w:b/>
                <w:lang w:val="es-CL"/>
              </w:rPr>
              <w:t>V. Metodología de la actividad curricular</w:t>
            </w: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2B5776" w:rsidRPr="00882E68" w:rsidRDefault="002B5776" w:rsidP="00C661A8">
            <w:pPr>
              <w:jc w:val="both"/>
            </w:pPr>
          </w:p>
          <w:p w:rsidR="001E36E8" w:rsidRPr="00C661A8" w:rsidRDefault="00936451" w:rsidP="00C661A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  <w:r>
              <w:rPr>
                <w:lang w:val="es-CL"/>
              </w:rPr>
              <w:t>Clases expositivas</w:t>
            </w:r>
            <w:r w:rsidR="00B65B8D" w:rsidRPr="00C661A8">
              <w:rPr>
                <w:lang w:val="es-CL"/>
              </w:rPr>
              <w:t>.</w:t>
            </w:r>
          </w:p>
          <w:p w:rsidR="00B65B8D" w:rsidRDefault="00480798" w:rsidP="00C661A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Discusión de artículos en base a exposiciones de estudiantes, </w:t>
            </w:r>
            <w:r w:rsidR="00936451">
              <w:rPr>
                <w:lang w:val="es-CL"/>
              </w:rPr>
              <w:t>en las sesiones</w:t>
            </w:r>
            <w:r w:rsidR="00B65B8D" w:rsidRPr="00C661A8">
              <w:rPr>
                <w:lang w:val="es-CL"/>
              </w:rPr>
              <w:t>.</w:t>
            </w:r>
          </w:p>
          <w:p w:rsidR="0066786A" w:rsidRPr="00C661A8" w:rsidRDefault="00480798" w:rsidP="0048079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  <w:r>
              <w:rPr>
                <w:lang w:val="es-CL"/>
              </w:rPr>
              <w:t>Investigación de temas.</w:t>
            </w: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B80091" w:rsidRPr="00C661A8" w:rsidRDefault="00B80091" w:rsidP="00B80091">
            <w:pPr>
              <w:rPr>
                <w:b/>
                <w:lang w:val="es-CL"/>
              </w:rPr>
            </w:pPr>
            <w:r w:rsidRPr="00C661A8">
              <w:rPr>
                <w:b/>
                <w:lang w:val="es-CL"/>
              </w:rPr>
              <w:t>VI. Evaluación de la actividad curricular</w:t>
            </w: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66786A" w:rsidRPr="00882E68" w:rsidRDefault="00AE4866" w:rsidP="00C661A8">
            <w:pPr>
              <w:jc w:val="both"/>
            </w:pPr>
            <w:r>
              <w:t>Prueba escrita (30</w:t>
            </w:r>
            <w:bookmarkStart w:id="0" w:name="_GoBack"/>
            <w:bookmarkEnd w:id="0"/>
            <w:r w:rsidR="00D218AE">
              <w:t>%)</w:t>
            </w:r>
          </w:p>
          <w:p w:rsidR="00882E68" w:rsidRDefault="00B65B8D" w:rsidP="00C661A8">
            <w:pPr>
              <w:jc w:val="both"/>
            </w:pPr>
            <w:r>
              <w:t xml:space="preserve">Exposición de </w:t>
            </w:r>
            <w:r w:rsidR="00A879E5">
              <w:t>textos</w:t>
            </w:r>
            <w:r>
              <w:t xml:space="preserve"> (</w:t>
            </w:r>
            <w:r w:rsidR="00AE4866">
              <w:t>20</w:t>
            </w:r>
            <w:r>
              <w:t>%)</w:t>
            </w:r>
          </w:p>
          <w:p w:rsidR="00B65B8D" w:rsidRDefault="00B65B8D" w:rsidP="00C661A8">
            <w:pPr>
              <w:jc w:val="both"/>
            </w:pPr>
            <w:r>
              <w:t>Monografía (</w:t>
            </w:r>
            <w:r w:rsidR="00AE4866">
              <w:t>30</w:t>
            </w:r>
            <w:r>
              <w:t>%)</w:t>
            </w:r>
          </w:p>
          <w:p w:rsidR="00AE4866" w:rsidRPr="00882E68" w:rsidRDefault="00AE4866" w:rsidP="00C661A8">
            <w:pPr>
              <w:jc w:val="both"/>
            </w:pPr>
            <w:r>
              <w:lastRenderedPageBreak/>
              <w:t>Informe de visitas a actividades prácticas (20</w:t>
            </w:r>
            <w:r w:rsidRPr="00AE4866">
              <w:t>%) Las actividades prácticas son obligatorias y se exige un 100% de asistencia a éstas, constituyendo un requisito de aprobación del curso.</w:t>
            </w:r>
          </w:p>
          <w:p w:rsidR="00882E68" w:rsidRPr="00C661A8" w:rsidRDefault="00882E68" w:rsidP="00C661A8">
            <w:pPr>
              <w:jc w:val="both"/>
              <w:rPr>
                <w:lang w:val="es-CL"/>
              </w:rPr>
            </w:pP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B80091" w:rsidRPr="00C661A8" w:rsidRDefault="00BE768F" w:rsidP="00B80091">
            <w:pPr>
              <w:rPr>
                <w:b/>
                <w:lang w:val="es-CL"/>
              </w:rPr>
            </w:pPr>
            <w:r w:rsidRPr="00C661A8">
              <w:rPr>
                <w:b/>
                <w:lang w:val="es-CL"/>
              </w:rPr>
              <w:lastRenderedPageBreak/>
              <w:t>VII</w:t>
            </w:r>
            <w:r w:rsidR="00B80091" w:rsidRPr="00C661A8">
              <w:rPr>
                <w:b/>
                <w:lang w:val="es-CL"/>
              </w:rPr>
              <w:t>. Bibliografía básica y obligatoria de la actividad curricular</w:t>
            </w:r>
          </w:p>
        </w:tc>
      </w:tr>
      <w:tr w:rsidR="00B80091" w:rsidRPr="00882E68" w:rsidTr="00C661A8">
        <w:tc>
          <w:tcPr>
            <w:tcW w:w="8644" w:type="dxa"/>
            <w:gridSpan w:val="2"/>
          </w:tcPr>
          <w:p w:rsidR="007D3D56" w:rsidRPr="00ED1B2A" w:rsidRDefault="007D3D56" w:rsidP="00C661A8">
            <w:pPr>
              <w:jc w:val="both"/>
              <w:rPr>
                <w:lang w:val="es-CL"/>
              </w:rPr>
            </w:pPr>
            <w:r w:rsidRPr="007D3D56">
              <w:t>Ley 20.084, que establece un sistema de responsabilidad de los adolescentes por infracciones a la ley penal</w:t>
            </w:r>
          </w:p>
          <w:p w:rsidR="00480798" w:rsidRDefault="00480798" w:rsidP="00C661A8">
            <w:pPr>
              <w:jc w:val="both"/>
            </w:pPr>
          </w:p>
          <w:p w:rsidR="00480798" w:rsidRPr="007D3D56" w:rsidRDefault="00480798" w:rsidP="00C661A8">
            <w:pPr>
              <w:jc w:val="both"/>
            </w:pPr>
            <w:r>
              <w:t xml:space="preserve">Proyecto de ley en discusión en el </w:t>
            </w:r>
            <w:r w:rsidR="00936451">
              <w:t>congreso que modifica la ley 20.</w:t>
            </w:r>
            <w:r>
              <w:t>084</w:t>
            </w:r>
          </w:p>
          <w:p w:rsidR="00E12D16" w:rsidRDefault="00E12D16" w:rsidP="00E12D16">
            <w:pPr>
              <w:jc w:val="both"/>
            </w:pPr>
          </w:p>
          <w:p w:rsidR="00936451" w:rsidRDefault="00936451" w:rsidP="00E12D16">
            <w:pPr>
              <w:jc w:val="both"/>
            </w:pPr>
            <w:r w:rsidRPr="00936451">
              <w:t>Rojas Flores, Jorge (2010). Historia de la infancia en el Chile republicano, 1810-2010</w:t>
            </w:r>
          </w:p>
          <w:p w:rsidR="00882E68" w:rsidRDefault="00882E68" w:rsidP="00C661A8">
            <w:pPr>
              <w:jc w:val="both"/>
            </w:pPr>
          </w:p>
          <w:p w:rsidR="00D95280" w:rsidRDefault="00D95280" w:rsidP="00C661A8">
            <w:pPr>
              <w:jc w:val="both"/>
            </w:pPr>
            <w:r>
              <w:t>Unicef. Justicia y Derechos del Niño. Número 8. Santiago, 2006.</w:t>
            </w:r>
          </w:p>
          <w:p w:rsidR="00D95280" w:rsidRDefault="00D95280" w:rsidP="00C661A8">
            <w:pPr>
              <w:jc w:val="both"/>
            </w:pPr>
          </w:p>
          <w:p w:rsidR="00882E68" w:rsidRPr="00882E68" w:rsidRDefault="00882E68" w:rsidP="00C661A8">
            <w:pPr>
              <w:jc w:val="both"/>
            </w:pP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B80091" w:rsidRPr="00C661A8" w:rsidRDefault="00BE768F" w:rsidP="00B80091">
            <w:pPr>
              <w:rPr>
                <w:b/>
                <w:lang w:val="en-US"/>
              </w:rPr>
            </w:pPr>
            <w:r w:rsidRPr="00C661A8">
              <w:rPr>
                <w:b/>
                <w:lang w:val="en-US"/>
              </w:rPr>
              <w:t>VII</w:t>
            </w:r>
            <w:r w:rsidR="00B80091" w:rsidRPr="00C661A8">
              <w:rPr>
                <w:b/>
                <w:lang w:val="en-US"/>
              </w:rPr>
              <w:t xml:space="preserve">.- </w:t>
            </w:r>
            <w:proofErr w:type="spellStart"/>
            <w:r w:rsidR="00B80091" w:rsidRPr="00C661A8">
              <w:rPr>
                <w:b/>
                <w:lang w:val="en-US"/>
              </w:rPr>
              <w:t>Bibliografía</w:t>
            </w:r>
            <w:proofErr w:type="spellEnd"/>
            <w:r w:rsidR="00B80091" w:rsidRPr="00C661A8">
              <w:rPr>
                <w:b/>
                <w:lang w:val="en-US"/>
              </w:rPr>
              <w:t xml:space="preserve"> </w:t>
            </w:r>
            <w:proofErr w:type="spellStart"/>
            <w:r w:rsidR="00B80091" w:rsidRPr="00C661A8">
              <w:rPr>
                <w:b/>
                <w:lang w:val="en-US"/>
              </w:rPr>
              <w:t>complementaria</w:t>
            </w:r>
            <w:proofErr w:type="spellEnd"/>
          </w:p>
        </w:tc>
      </w:tr>
      <w:tr w:rsidR="00B80091" w:rsidRPr="007D3D56" w:rsidTr="00C661A8">
        <w:tc>
          <w:tcPr>
            <w:tcW w:w="8644" w:type="dxa"/>
            <w:gridSpan w:val="2"/>
          </w:tcPr>
          <w:p w:rsidR="00686F88" w:rsidRPr="00EF5749" w:rsidRDefault="00686F88" w:rsidP="00C661A8">
            <w:pPr>
              <w:jc w:val="both"/>
              <w:rPr>
                <w:lang w:val="en-US"/>
              </w:rPr>
            </w:pPr>
          </w:p>
          <w:p w:rsidR="007D3D56" w:rsidRPr="007D3D56" w:rsidRDefault="007D3D56" w:rsidP="00C661A8">
            <w:pPr>
              <w:jc w:val="both"/>
            </w:pPr>
            <w:r w:rsidRPr="00EF5749">
              <w:rPr>
                <w:lang w:val="en-US"/>
              </w:rPr>
              <w:t xml:space="preserve">Farrington, D. Early predictors of adolescent aggression and adult violence. </w:t>
            </w:r>
            <w:proofErr w:type="spellStart"/>
            <w:r w:rsidRPr="007D3D56">
              <w:t>Violence</w:t>
            </w:r>
            <w:proofErr w:type="spellEnd"/>
            <w:r w:rsidRPr="007D3D56">
              <w:t xml:space="preserve"> and </w:t>
            </w:r>
            <w:proofErr w:type="spellStart"/>
            <w:r w:rsidRPr="007D3D56">
              <w:t>victims</w:t>
            </w:r>
            <w:proofErr w:type="spellEnd"/>
            <w:r w:rsidRPr="007D3D56">
              <w:t xml:space="preserve"> 1989; 4:79-100 en </w:t>
            </w:r>
            <w:proofErr w:type="spellStart"/>
            <w:r w:rsidRPr="007D3D56">
              <w:t>Orpinas</w:t>
            </w:r>
            <w:proofErr w:type="spellEnd"/>
            <w:r w:rsidRPr="007D3D56">
              <w:t xml:space="preserve">, P., </w:t>
            </w:r>
          </w:p>
          <w:p w:rsidR="00E12D16" w:rsidRDefault="00E12D16" w:rsidP="00E12D16">
            <w:pPr>
              <w:jc w:val="both"/>
            </w:pPr>
          </w:p>
          <w:p w:rsidR="00E12D16" w:rsidRPr="00882E68" w:rsidRDefault="00E12D16" w:rsidP="00E12D16">
            <w:pPr>
              <w:jc w:val="both"/>
            </w:pPr>
            <w:r>
              <w:t>Ministerio de Justicia. Violencia, Delincuencia y Política Criminal. Congreso Internacional. Santiago, 2007.</w:t>
            </w:r>
          </w:p>
          <w:p w:rsidR="00882E68" w:rsidRPr="007D3D56" w:rsidRDefault="00882E68" w:rsidP="00C661A8">
            <w:pPr>
              <w:jc w:val="both"/>
            </w:pPr>
          </w:p>
          <w:p w:rsidR="00D95280" w:rsidRDefault="00D95280" w:rsidP="00C661A8">
            <w:pPr>
              <w:jc w:val="both"/>
            </w:pPr>
            <w:proofErr w:type="spellStart"/>
            <w:r>
              <w:t>Tiffer</w:t>
            </w:r>
            <w:proofErr w:type="spellEnd"/>
            <w:r>
              <w:t xml:space="preserve">, C.; </w:t>
            </w:r>
            <w:proofErr w:type="spellStart"/>
            <w:r>
              <w:t>Llobet</w:t>
            </w:r>
            <w:proofErr w:type="spellEnd"/>
            <w:r>
              <w:t xml:space="preserve">, J.; </w:t>
            </w:r>
            <w:proofErr w:type="spellStart"/>
            <w:r>
              <w:t>Dünkel</w:t>
            </w:r>
            <w:proofErr w:type="spellEnd"/>
            <w:r>
              <w:t>, F. Derecho Penal Juvenil. 1ª edición. DAAD. San José, Costa Rica. 2002</w:t>
            </w:r>
          </w:p>
          <w:p w:rsidR="00882E68" w:rsidRPr="007D3D56" w:rsidRDefault="00882E68" w:rsidP="00C661A8">
            <w:pPr>
              <w:jc w:val="both"/>
            </w:pPr>
          </w:p>
        </w:tc>
      </w:tr>
    </w:tbl>
    <w:p w:rsidR="00B80091" w:rsidRPr="00882E68" w:rsidRDefault="00B80091">
      <w:pPr>
        <w:rPr>
          <w:lang w:val="es-CL"/>
        </w:rPr>
      </w:pPr>
    </w:p>
    <w:sectPr w:rsidR="00B80091" w:rsidRPr="00882E6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A6" w:rsidRDefault="00AB73A6">
      <w:r>
        <w:separator/>
      </w:r>
    </w:p>
  </w:endnote>
  <w:endnote w:type="continuationSeparator" w:id="0">
    <w:p w:rsidR="00AB73A6" w:rsidRDefault="00AB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A6" w:rsidRDefault="00AB73A6">
      <w:r>
        <w:separator/>
      </w:r>
    </w:p>
  </w:footnote>
  <w:footnote w:type="continuationSeparator" w:id="0">
    <w:p w:rsidR="00AB73A6" w:rsidRDefault="00AB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49" w:rsidRDefault="00EF5749" w:rsidP="00882E68">
    <w:pPr>
      <w:ind w:firstLine="708"/>
      <w:rPr>
        <w:sz w:val="20"/>
        <w:szCs w:val="20"/>
        <w:lang w:val="es-CL"/>
      </w:rPr>
    </w:pPr>
  </w:p>
  <w:p w:rsidR="00EF5749" w:rsidRPr="00882E68" w:rsidRDefault="000D3882" w:rsidP="00882E68">
    <w:pPr>
      <w:ind w:firstLine="708"/>
      <w:rPr>
        <w:sz w:val="20"/>
        <w:szCs w:val="20"/>
        <w:lang w:val="es-CL"/>
      </w:rPr>
    </w:pPr>
    <w:r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323850" cy="685800"/>
          <wp:effectExtent l="0" t="0" r="0" b="0"/>
          <wp:wrapSquare wrapText="largest"/>
          <wp:docPr id="1" name="Imagen 1" descr="Logo_U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ch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749" w:rsidRPr="00882E68">
      <w:rPr>
        <w:sz w:val="20"/>
        <w:szCs w:val="20"/>
        <w:lang w:val="es-CL"/>
      </w:rPr>
      <w:t xml:space="preserve">Universidad de Chile </w:t>
    </w:r>
  </w:p>
  <w:p w:rsidR="00EF5749" w:rsidRPr="00882E68" w:rsidRDefault="00EF5749" w:rsidP="00882E68">
    <w:pPr>
      <w:ind w:firstLine="708"/>
      <w:rPr>
        <w:sz w:val="20"/>
        <w:szCs w:val="20"/>
        <w:lang w:val="es-CL"/>
      </w:rPr>
    </w:pPr>
    <w:r w:rsidRPr="00882E68">
      <w:rPr>
        <w:sz w:val="20"/>
        <w:szCs w:val="20"/>
        <w:lang w:val="es-CL"/>
      </w:rPr>
      <w:t>Facultad de Ciencias Sociales</w:t>
    </w:r>
  </w:p>
  <w:p w:rsidR="00EF5749" w:rsidRPr="00882E68" w:rsidRDefault="00EF5749" w:rsidP="00882E68">
    <w:pPr>
      <w:ind w:firstLine="708"/>
      <w:rPr>
        <w:sz w:val="20"/>
        <w:szCs w:val="20"/>
        <w:lang w:val="es-CL"/>
      </w:rPr>
    </w:pPr>
    <w:r w:rsidRPr="00882E68">
      <w:rPr>
        <w:sz w:val="20"/>
        <w:szCs w:val="20"/>
        <w:lang w:val="es-CL"/>
      </w:rPr>
      <w:t>Escuela de Ciencias Sociales</w:t>
    </w:r>
  </w:p>
  <w:p w:rsidR="00EF5749" w:rsidRPr="00882E68" w:rsidRDefault="00EF5749" w:rsidP="00882E68">
    <w:pPr>
      <w:ind w:firstLine="708"/>
      <w:rPr>
        <w:sz w:val="20"/>
        <w:szCs w:val="20"/>
        <w:lang w:val="es-CL"/>
      </w:rPr>
    </w:pPr>
    <w:r w:rsidRPr="00882E68">
      <w:rPr>
        <w:sz w:val="20"/>
        <w:szCs w:val="20"/>
        <w:lang w:val="es-CL"/>
      </w:rPr>
      <w:t>Carrera de Psicología</w:t>
    </w:r>
  </w:p>
  <w:p w:rsidR="00EF5749" w:rsidRPr="00882E68" w:rsidRDefault="00EF5749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F8ECF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3DD2CCA"/>
    <w:multiLevelType w:val="hybridMultilevel"/>
    <w:tmpl w:val="E34C620C"/>
    <w:lvl w:ilvl="0" w:tplc="F086DB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3AD041A"/>
    <w:multiLevelType w:val="hybridMultilevel"/>
    <w:tmpl w:val="FC7E2D8E"/>
    <w:lvl w:ilvl="0" w:tplc="F086D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>
    <w:nsid w:val="469C0039"/>
    <w:multiLevelType w:val="hybridMultilevel"/>
    <w:tmpl w:val="53569C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FE486C"/>
    <w:multiLevelType w:val="hybridMultilevel"/>
    <w:tmpl w:val="48928C5A"/>
    <w:lvl w:ilvl="0" w:tplc="FFFFFFFF">
      <w:start w:val="1"/>
      <w:numFmt w:val="bullet"/>
      <w:pStyle w:val="Subttu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A832F6"/>
    <w:multiLevelType w:val="hybridMultilevel"/>
    <w:tmpl w:val="D0F043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8"/>
  </w:num>
  <w:num w:numId="5">
    <w:abstractNumId w:val="18"/>
  </w:num>
  <w:num w:numId="6">
    <w:abstractNumId w:val="1"/>
  </w:num>
  <w:num w:numId="7">
    <w:abstractNumId w:val="13"/>
  </w:num>
  <w:num w:numId="8">
    <w:abstractNumId w:val="5"/>
  </w:num>
  <w:num w:numId="9">
    <w:abstractNumId w:val="3"/>
  </w:num>
  <w:num w:numId="10">
    <w:abstractNumId w:val="20"/>
  </w:num>
  <w:num w:numId="11">
    <w:abstractNumId w:val="7"/>
  </w:num>
  <w:num w:numId="12">
    <w:abstractNumId w:val="19"/>
  </w:num>
  <w:num w:numId="13">
    <w:abstractNumId w:val="17"/>
  </w:num>
  <w:num w:numId="14">
    <w:abstractNumId w:val="9"/>
  </w:num>
  <w:num w:numId="15">
    <w:abstractNumId w:val="6"/>
  </w:num>
  <w:num w:numId="16">
    <w:abstractNumId w:val="2"/>
  </w:num>
  <w:num w:numId="17">
    <w:abstractNumId w:val="0"/>
    <w:lvlOverride w:ilvl="0">
      <w:startOverride w:val="1"/>
    </w:lvlOverride>
  </w:num>
  <w:num w:numId="18">
    <w:abstractNumId w:val="10"/>
  </w:num>
  <w:num w:numId="19">
    <w:abstractNumId w:val="4"/>
  </w:num>
  <w:num w:numId="20">
    <w:abstractNumId w:val="11"/>
  </w:num>
  <w:num w:numId="21">
    <w:abstractNumId w:val="15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1"/>
    <w:rsid w:val="0001452C"/>
    <w:rsid w:val="00023408"/>
    <w:rsid w:val="000655A8"/>
    <w:rsid w:val="00087821"/>
    <w:rsid w:val="000D3882"/>
    <w:rsid w:val="000F0232"/>
    <w:rsid w:val="0010595E"/>
    <w:rsid w:val="001D4A94"/>
    <w:rsid w:val="001D5D2C"/>
    <w:rsid w:val="001E36E8"/>
    <w:rsid w:val="002128E8"/>
    <w:rsid w:val="002163F1"/>
    <w:rsid w:val="002772FA"/>
    <w:rsid w:val="002826E7"/>
    <w:rsid w:val="002B5776"/>
    <w:rsid w:val="00326CC5"/>
    <w:rsid w:val="00355261"/>
    <w:rsid w:val="003D38EC"/>
    <w:rsid w:val="0044044B"/>
    <w:rsid w:val="00445426"/>
    <w:rsid w:val="00450434"/>
    <w:rsid w:val="00480798"/>
    <w:rsid w:val="004B4E98"/>
    <w:rsid w:val="004B5C0C"/>
    <w:rsid w:val="004F7C8C"/>
    <w:rsid w:val="005055E1"/>
    <w:rsid w:val="00546892"/>
    <w:rsid w:val="0054774A"/>
    <w:rsid w:val="005850F4"/>
    <w:rsid w:val="00593161"/>
    <w:rsid w:val="005E6B73"/>
    <w:rsid w:val="0060483D"/>
    <w:rsid w:val="00642981"/>
    <w:rsid w:val="00653608"/>
    <w:rsid w:val="0066786A"/>
    <w:rsid w:val="00686F88"/>
    <w:rsid w:val="006E6393"/>
    <w:rsid w:val="007347BF"/>
    <w:rsid w:val="00742FD9"/>
    <w:rsid w:val="007D3D56"/>
    <w:rsid w:val="00802A53"/>
    <w:rsid w:val="0084499C"/>
    <w:rsid w:val="00882E68"/>
    <w:rsid w:val="008D4F76"/>
    <w:rsid w:val="009257F4"/>
    <w:rsid w:val="00927F16"/>
    <w:rsid w:val="00936451"/>
    <w:rsid w:val="0094254A"/>
    <w:rsid w:val="00980782"/>
    <w:rsid w:val="0098624C"/>
    <w:rsid w:val="009910BE"/>
    <w:rsid w:val="00993C25"/>
    <w:rsid w:val="00A16D7C"/>
    <w:rsid w:val="00A879E5"/>
    <w:rsid w:val="00AB73A6"/>
    <w:rsid w:val="00AC49A3"/>
    <w:rsid w:val="00AE4866"/>
    <w:rsid w:val="00AF7E6E"/>
    <w:rsid w:val="00B03A2D"/>
    <w:rsid w:val="00B107D4"/>
    <w:rsid w:val="00B211B1"/>
    <w:rsid w:val="00B65B8D"/>
    <w:rsid w:val="00B73AA1"/>
    <w:rsid w:val="00B80091"/>
    <w:rsid w:val="00B8403D"/>
    <w:rsid w:val="00B84A0F"/>
    <w:rsid w:val="00BC769F"/>
    <w:rsid w:val="00BE768F"/>
    <w:rsid w:val="00C5467C"/>
    <w:rsid w:val="00C61F34"/>
    <w:rsid w:val="00C661A8"/>
    <w:rsid w:val="00CD30F6"/>
    <w:rsid w:val="00CE71EA"/>
    <w:rsid w:val="00D16715"/>
    <w:rsid w:val="00D218AE"/>
    <w:rsid w:val="00D31726"/>
    <w:rsid w:val="00D335C8"/>
    <w:rsid w:val="00D758FC"/>
    <w:rsid w:val="00D95280"/>
    <w:rsid w:val="00DD022A"/>
    <w:rsid w:val="00DE22AB"/>
    <w:rsid w:val="00E12D16"/>
    <w:rsid w:val="00E61C5A"/>
    <w:rsid w:val="00E8635F"/>
    <w:rsid w:val="00ED1B2A"/>
    <w:rsid w:val="00EE2370"/>
    <w:rsid w:val="00EE2769"/>
    <w:rsid w:val="00EF5749"/>
    <w:rsid w:val="00F03414"/>
    <w:rsid w:val="00F1011F"/>
    <w:rsid w:val="00F41E32"/>
    <w:rsid w:val="00F648F8"/>
    <w:rsid w:val="00F86FD1"/>
    <w:rsid w:val="00FB3289"/>
    <w:rsid w:val="00FB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Subttulo">
    <w:name w:val="Subtitle"/>
    <w:basedOn w:val="Normal"/>
    <w:qFormat/>
    <w:rsid w:val="00AC49A3"/>
    <w:pPr>
      <w:numPr>
        <w:numId w:val="1"/>
      </w:numPr>
      <w:jc w:val="both"/>
    </w:pPr>
    <w:rPr>
      <w:rFonts w:ascii="Arial" w:eastAsia="Times" w:hAnsi="Arial"/>
      <w:b/>
      <w:sz w:val="20"/>
      <w:szCs w:val="20"/>
      <w:lang w:val="es-ES_tradnl"/>
    </w:rPr>
  </w:style>
  <w:style w:type="paragraph" w:styleId="Piedepgina">
    <w:name w:val="footer"/>
    <w:basedOn w:val="Normal"/>
    <w:rsid w:val="00A16D7C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rsid w:val="00653608"/>
    <w:pPr>
      <w:jc w:val="both"/>
    </w:pPr>
    <w:rPr>
      <w:rFonts w:ascii="Arial" w:eastAsia="Times" w:hAnsi="Arial"/>
      <w:b/>
      <w:sz w:val="20"/>
      <w:szCs w:val="20"/>
      <w:lang w:val="es-ES_tradnl"/>
    </w:rPr>
  </w:style>
  <w:style w:type="paragraph" w:styleId="Encabezado">
    <w:name w:val="header"/>
    <w:basedOn w:val="Normal"/>
    <w:rsid w:val="00882E68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Subttulo">
    <w:name w:val="Subtitle"/>
    <w:basedOn w:val="Normal"/>
    <w:qFormat/>
    <w:rsid w:val="00AC49A3"/>
    <w:pPr>
      <w:numPr>
        <w:numId w:val="1"/>
      </w:numPr>
      <w:jc w:val="both"/>
    </w:pPr>
    <w:rPr>
      <w:rFonts w:ascii="Arial" w:eastAsia="Times" w:hAnsi="Arial"/>
      <w:b/>
      <w:sz w:val="20"/>
      <w:szCs w:val="20"/>
      <w:lang w:val="es-ES_tradnl"/>
    </w:rPr>
  </w:style>
  <w:style w:type="paragraph" w:styleId="Piedepgina">
    <w:name w:val="footer"/>
    <w:basedOn w:val="Normal"/>
    <w:rsid w:val="00A16D7C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rsid w:val="00653608"/>
    <w:pPr>
      <w:jc w:val="both"/>
    </w:pPr>
    <w:rPr>
      <w:rFonts w:ascii="Arial" w:eastAsia="Times" w:hAnsi="Arial"/>
      <w:b/>
      <w:sz w:val="20"/>
      <w:szCs w:val="20"/>
      <w:lang w:val="es-ES_tradnl"/>
    </w:rPr>
  </w:style>
  <w:style w:type="paragraph" w:styleId="Encabezado">
    <w:name w:val="header"/>
    <w:basedOn w:val="Normal"/>
    <w:rsid w:val="00882E6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Usuario</cp:lastModifiedBy>
  <cp:revision>2</cp:revision>
  <dcterms:created xsi:type="dcterms:W3CDTF">2022-01-20T16:15:00Z</dcterms:created>
  <dcterms:modified xsi:type="dcterms:W3CDTF">2022-01-20T16:15:00Z</dcterms:modified>
</cp:coreProperties>
</file>