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Universidad de Chile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0</wp:posOffset>
            </wp:positionV>
            <wp:extent cx="323850" cy="68580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Facultad de Ciencias Sociales</w:t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Escuela de Ciencias Sociales</w: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Carrera de Psicología</w:t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Programa “Taller de trabajo con el autosabotaje y la procrastinación”</w:t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(Horario: Jueves 11:30-13:30 + Actividades a-sincrónicas)</w:t>
      </w:r>
    </w:p>
    <w:p w:rsidR="00000000" w:rsidDel="00000000" w:rsidP="00000000" w:rsidRDefault="00000000" w:rsidRPr="00000000" w14:paraId="00000008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1.0" w:type="dxa"/>
        <w:jc w:val="left"/>
        <w:tblInd w:w="-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75"/>
        <w:gridCol w:w="4226"/>
        <w:tblGridChange w:id="0">
          <w:tblGrid>
            <w:gridCol w:w="4275"/>
            <w:gridCol w:w="422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I.- Identificación de la actividad curricular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Carrera en que se dicta: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Psicología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Profesor o equipo: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Pablo Herrera Salinas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Ciclo al que pertenece: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Especialización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Semestre: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VII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Modalidad: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Carácter: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Optativo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Pre - requisitos: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Curso Transversal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2022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II.- Descripción / Justificación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Desde distintas disciplinas científicas y artísticas se ha buscado comprender el autosabotaje y ambivalencia humana. ¿Por qué no hacemos las cosas que sabemos que nos hacen bien? ¿Qué pasa que repetimos una y otra vez los mismos errores? y ¿Cómo podemos dejar de postergar lo que nos importa realmente?</w:t>
            </w:r>
          </w:p>
          <w:p w:rsidR="00000000" w:rsidDel="00000000" w:rsidP="00000000" w:rsidRDefault="00000000" w:rsidRPr="00000000" w14:paraId="0000001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Este taller entrega herramientas clínicas para abordar estos problemas en nosotros mismos y en otros. Se basa en modernos desarrollos de las teorías del Self Dialógico y la Mente Modular, y asume una perspectiva basada en principios humanistas y experienciales. Desde esta mirada, la conducta "auto-derrotante" no se ve como expresión de un impulso masoquista o de ideas irracionales, sino como una expresión de conflicto interno y de aspectos de uno mismo que es necesario escuchar y acoger empáticamente.</w:t>
            </w:r>
          </w:p>
          <w:p w:rsidR="00000000" w:rsidDel="00000000" w:rsidP="00000000" w:rsidRDefault="00000000" w:rsidRPr="00000000" w14:paraId="0000002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III.- Objetivos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Objetivo General:</w:t>
            </w:r>
          </w:p>
          <w:p w:rsidR="00000000" w:rsidDel="00000000" w:rsidP="00000000" w:rsidRDefault="00000000" w:rsidRPr="00000000" w14:paraId="0000002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Entregar herramientas prácticas y teóricas para que los estudiantes comprendan y resuelvan sus propias conductas y reacciones “auto-saboteadoras” y de procrastinación, así como las de los demás. Lo anterior, desde una perspectiva humanista-experiencial donde éstas conductas no se ven como ideas irracionales o expresión de un impulso masoquista-tanático a combatir, sino como una manifestación de voces rechazadas o ignoradas del self, que requieren empatía y escucha para ser canalizadas constructivamente.</w:t>
            </w:r>
          </w:p>
          <w:p w:rsidR="00000000" w:rsidDel="00000000" w:rsidP="00000000" w:rsidRDefault="00000000" w:rsidRPr="00000000" w14:paraId="0000002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Objetivos Específicos: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Comprender distintas conceptualizaciones teóricas que han buscado explicar el autosabotaje, la resistencia al cambio y la procrastinación, así como las consecuencias prácticas y clínicas de dichos planteamientos teóricos.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Explorar las propias conductas de autosabotaje o procrastinación, desde una mirada empática en vez de juzgadora o de pelea con uno mismo.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Identificar el sentido de la conducta autosaboteadora o de procrastinación, tanto en sí mismo como en otros.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Aplicar estrategias prácticas de negociación interna para resolver el conflicto interno, disminuyendo el autosabotaje y la procrastinación, de modo de lograr alinear mejor la propia conducta con los objetivos, necesidades y valores.</w:t>
            </w:r>
          </w:p>
          <w:p w:rsidR="00000000" w:rsidDel="00000000" w:rsidP="00000000" w:rsidRDefault="00000000" w:rsidRPr="00000000" w14:paraId="0000002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IV.- Temáticas o contenidos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Módulo I: ¿Por qué hacemos cosas que nos hacen daño y postergamos lo importante? Comprensiones teóricas del autosabotaje y procrastinación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Definiciones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Modelos teóricos: Acoger vs Luchar contra la resistencia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Mirada humanista sobre el Autosabotaje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Propuesta de trabajo sobre la Procrastinación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Teorías del Self Múltiple y abordaje del conflicto interno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Módulo II: Trabajo con el sentido de la resistencia o síntoma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Ejemplos sobre el sentido de la conducta sintomática o resistente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Identificar las voces internas en conflicto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Explorar empáticamente el sentido o intención positiva de cada voz interna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Módulo III: Negociación interna y resolución de la ambivalencia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Trabajo de partes o polaridades internas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Identificación y desarrollo de estrategias para manejar la ambivalencia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Módulo IV: Trabajo con la procrastinación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Fuerza de voluntad como recurso finito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Modelos del sacrificio vs modelos de conservación de la energía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Barreras comunes que producen procrastinación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Trabajo con el crítico interno y lucha “topdog vs underdog”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V.- Metodología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curso es de carácter fundamentalmente práctico-experiencial. Se trabajarán contenidos teóricos al inicio para explicar los conceptos y fundamentar los ejercicios. Posteriormente, el trabajo será principalmente de tipo taller en que los mismos estudiantes realizarán ejercicios individuales y en pequeños grupos, con guía y retroalimentación docente. Además, se realizarán trabajos prácticos semanales en las horas no presenciales del curso, para fortalecer las herramientas aprendidas.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2021 el curso se dictará online. Se irán alternando las sesiones sincrónicas con entrega de material (textos, guías de ejercicios y videos) a-sincrónico.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VI.- Evaluación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 realizarán las siguientes evaluaciones: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 Trabajo práctico de identificación del sentido de la conducta de autosabotaje, mediante entrevista clínica. 20%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 Trabajo práctico de facilitación de la negociación interna y construcción de objetivos “ecológicos”, coherentes con todos los aspectos o voces del self. 20%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 Trabajo práctico de identificación de las barreras internas y externas que generan procrastinación, y desarrollo de un plan de intervención. 20%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VII.- Bibliografía básica y obligatoria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Arkowitz, H. (2002). Toward an integrative perspective on resistance to change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. Journal of Clinical Psychology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58(2), 219–227.</w:t>
            </w:r>
          </w:p>
          <w:p w:rsidR="00000000" w:rsidDel="00000000" w:rsidP="00000000" w:rsidRDefault="00000000" w:rsidRPr="00000000" w14:paraId="0000005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Cowan, E., &amp; Presbury, J. (2000). Meeting client resistance and reactance with reverence.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Journal of Counseling &amp; Development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78, 411–419.</w:t>
            </w:r>
          </w:p>
          <w:p w:rsidR="00000000" w:rsidDel="00000000" w:rsidP="00000000" w:rsidRDefault="00000000" w:rsidRPr="00000000" w14:paraId="0000005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Herrera, P. (2020) “If my Plan Doesn’t Work, I’ll Follow the Doctor’s Orders”. A Dialogical Self Analysis of Chronic Patients’ Medical Treatment Ambivalence,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Journal of Constructivist Psychology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DOI: 10.1080/10720537.2020.1864690</w:t>
            </w:r>
          </w:p>
          <w:p w:rsidR="00000000" w:rsidDel="00000000" w:rsidP="00000000" w:rsidRDefault="00000000" w:rsidRPr="00000000" w14:paraId="0000005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Wachtel, P. L. (1996). La comunicación terapéutica. Bilbao: Desclée De Brower. Capítulo 5: Intervenciones acusatorias y facilitadoras. Crítica y permiso en el diálogo terapéutico</w:t>
            </w:r>
          </w:p>
          <w:p w:rsidR="00000000" w:rsidDel="00000000" w:rsidP="00000000" w:rsidRDefault="00000000" w:rsidRPr="00000000" w14:paraId="0000006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Además, se incluyen los siguientes recursos web:</w:t>
            </w:r>
          </w:p>
          <w:p w:rsidR="00000000" w:rsidDel="00000000" w:rsidP="00000000" w:rsidRDefault="00000000" w:rsidRPr="00000000" w14:paraId="0000006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Garamond" w:cs="Garamond" w:eastAsia="Garamond" w:hAnsi="Garamond"/>
                <w:i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Herrera, P. (2015)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rtl w:val="0"/>
              </w:rPr>
              <w:t xml:space="preserve"> ¿Por qué no seguimos los tratamientos médicos e indicaciones de salud?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Ceresdesarrollohumano.com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Parte 1: </w:t>
            </w:r>
            <w:hyperlink r:id="rId8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http://ceresdesarrollohumano.com/post/104330587283/por-que-no-seguimos-los-tratamientos-medicos-e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Parte 2: </w:t>
            </w:r>
            <w:hyperlink r:id="rId9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http://ceresdesarrollohumano.com/post/104923920803/por-que-no-seguimos-los-tratamientos-medicos-e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Garamond" w:cs="Garamond" w:eastAsia="Garamond" w:hAnsi="Garamond"/>
                <w:i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Herrera, P. (2013)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rtl w:val="0"/>
              </w:rPr>
              <w:t xml:space="preserve">Cómo logré dejar de procrastinar usando la ley del mínimo esfuerzo.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Ceresdesarrollohumano.com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Parte 1: </w:t>
            </w:r>
            <w:hyperlink r:id="rId10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http://ceresdesarrollohumano.com/post/67747139284/como-logre-dejar-de-procrastinar-usando-la-ley-del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Parte 2: </w:t>
            </w:r>
            <w:hyperlink r:id="rId11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http://ceresdesarrollohumano.com/post/68362117497/como-deje-de-procrastinar-usando-la-ley-del-minimo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Garamond" w:cs="Garamond" w:eastAsia="Garamond" w:hAnsi="Garamond"/>
                <w:b w:val="1"/>
                <w:i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Herrera, P. (2014)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rtl w:val="0"/>
              </w:rPr>
              <w:t xml:space="preserve"> Cómo abordar proyectos de largo plazo sin desmotivarme.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Ceresdesarrollohumano.com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Parte 1: </w:t>
            </w:r>
            <w:hyperlink r:id="rId12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http://ceresdesarrollohumano.com/post/95381947503/como-abordar-proyectos-de-largo-plazo-sin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Parte 2: </w:t>
            </w:r>
            <w:hyperlink r:id="rId13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http://ceresdesarrollohumano.com/post/96005011033/como-abordar-proyectos-de-largo-plazo-sin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VIII.- Bibliografía complementaria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Beutler, L. E., Rocco, F., &amp; Moleiro, C. (2001). Resistance.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Psychotherapy: Theory, Research, Practice, Training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34(4), 431–436.</w:t>
            </w:r>
          </w:p>
          <w:p w:rsidR="00000000" w:rsidDel="00000000" w:rsidP="00000000" w:rsidRDefault="00000000" w:rsidRPr="00000000" w14:paraId="0000007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Carretero, F., Feixas, G., Pellungrini, I., &amp; Saúl, L. A. (2001). Cuando relacionarse amenaza la identidad. La fobia social desde un enfoque constructivista.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Boletín De Psicología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72, 43–55.</w:t>
            </w:r>
          </w:p>
          <w:p w:rsidR="00000000" w:rsidDel="00000000" w:rsidP="00000000" w:rsidRDefault="00000000" w:rsidRPr="00000000" w14:paraId="0000007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Ecker, B., &amp; Hulley, L. (1996). Depth-oriented brief therapy. San Francisco: Jossey-Bass.</w:t>
            </w:r>
          </w:p>
          <w:p w:rsidR="00000000" w:rsidDel="00000000" w:rsidP="00000000" w:rsidRDefault="00000000" w:rsidRPr="00000000" w14:paraId="0000007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Engle, D. E., &amp; Holiman, M. (2002). A gestalt</w:t>
            </w:r>
            <w:r w:rsidDel="00000000" w:rsidR="00000000" w:rsidRPr="00000000">
              <w:rPr>
                <w:rFonts w:ascii="Jacques Francois Shadow" w:cs="Jacques Francois Shadow" w:eastAsia="Jacques Francois Shadow" w:hAnsi="Jacques Francois Shadow"/>
                <w:rtl w:val="0"/>
              </w:rPr>
              <w:t xml:space="preserve">‐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experiential perspective on resistance.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Journal of Clinical Psychology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58(2), 175–183.</w:t>
            </w:r>
          </w:p>
          <w:p w:rsidR="00000000" w:rsidDel="00000000" w:rsidP="00000000" w:rsidRDefault="00000000" w:rsidRPr="00000000" w14:paraId="0000007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Ecker, B., &amp; Hulley, L. (2007, November 24). Coherence Therapy for Panic Attacks. Www.Coherencetherapy.org. Retrieved October 2012, from </w:t>
            </w:r>
            <w:hyperlink r:id="rId14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http://www.coherencetherapy.org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Feixas, G., Montesano, A., Compañ, V., Salla, M., Dada, G., Pucurull, O., et al. (2014). Cognitive conflicts in major depression: Between desired change and personal coherence. The British Journal of Clinical Psychology / the British Psychological Society, 53(4), n/a–n/a. doi:10.1111/bjc.12050</w:t>
            </w:r>
          </w:p>
          <w:p w:rsidR="00000000" w:rsidDel="00000000" w:rsidP="00000000" w:rsidRDefault="00000000" w:rsidRPr="00000000" w14:paraId="0000007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Frankel, Z., &amp; Levitt, H. M. (2006). Postmodern Strategies for Working with Resistance: Problem Resolution or Self-Revolution?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Journal of Constructivist Psychology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19(3), 219–250. doi:10.1080/13854040600689141</w:t>
            </w:r>
          </w:p>
          <w:p w:rsidR="00000000" w:rsidDel="00000000" w:rsidP="00000000" w:rsidRDefault="00000000" w:rsidRPr="00000000" w14:paraId="0000008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Greenberg, L. S. (1979). Resolving splits: Use of the two chair technique.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Psychotherapy: Theory, Research &amp; Practice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16(3), 316.</w:t>
            </w:r>
          </w:p>
          <w:p w:rsidR="00000000" w:rsidDel="00000000" w:rsidP="00000000" w:rsidRDefault="00000000" w:rsidRPr="00000000" w14:paraId="0000008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Herrera, P. (2013).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Cooperation and resistance toward medical treatment in hypertensive patients who require lifestyle changes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. (Doctoral Dissertation). Ruprecht-karls-universität Heidelberg, Heidelberg.</w:t>
            </w:r>
          </w:p>
          <w:p w:rsidR="00000000" w:rsidDel="00000000" w:rsidP="00000000" w:rsidRDefault="00000000" w:rsidRPr="00000000" w14:paraId="0000008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Herrera, P., Moncada, L., &amp; Defey, D. (2016). Understanding Non-Adherence From the Inside: Hypertensive Patients' Motivations for Adhering and Not Adhering.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Qualitative Health Research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1–13. http://doi.org/10.1177/1049732316652529</w:t>
            </w:r>
          </w:p>
          <w:p w:rsidR="00000000" w:rsidDel="00000000" w:rsidP="00000000" w:rsidRDefault="00000000" w:rsidRPr="00000000" w14:paraId="0000008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Martínez, A. (2012).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Interrupción: La visión Gestáltica de las resistencias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. Retrieved April 28, 2015, from http://www.gestalt.cl/articulo.php?textoId=10</w:t>
            </w:r>
          </w:p>
          <w:p w:rsidR="00000000" w:rsidDel="00000000" w:rsidP="00000000" w:rsidRDefault="00000000" w:rsidRPr="00000000" w14:paraId="0000008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Messer, S. B. (2002). A psychodynamic perspective on resistance in psychotherapy: vive la résistance. Journal of Clinical Psychology, 58(2), 157–163. doi:10.1002/jclp.1139</w:t>
            </w:r>
          </w:p>
          <w:p w:rsidR="00000000" w:rsidDel="00000000" w:rsidP="00000000" w:rsidRDefault="00000000" w:rsidRPr="00000000" w14:paraId="0000008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Moyers, T. B., &amp; Rollnick, S. (2002). A motivational interviewing perspective on resistance in psychotherapy. Journal of Clinical Psychology, 58(2), 185–193. doi:10.1002/jclp.1142</w:t>
            </w:r>
          </w:p>
          <w:p w:rsidR="00000000" w:rsidDel="00000000" w:rsidP="00000000" w:rsidRDefault="00000000" w:rsidRPr="00000000" w14:paraId="0000008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Newman, C. F. (2002). A cognitive perspective on resistance in psychotherapy. Journal of Clinical Psychology, 58(2), 165–174.</w:t>
            </w:r>
          </w:p>
          <w:p w:rsidR="00000000" w:rsidDel="00000000" w:rsidP="00000000" w:rsidRDefault="00000000" w:rsidRPr="00000000" w14:paraId="0000008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Sassenfeld, A. (sin fecha). La resistencia y los mecanismos de la neurosis en psicoterapia gestáltica. Facso.uchile.cl. Retrieved December 8, 2012, from http://www.facso.uchile.cl/psicologia/caps/docs/La_resistencia_y_los_mecanismos_de_la_neurosis_en_la_terapia_gest_ltica.pdf.</w:t>
            </w:r>
          </w:p>
          <w:p w:rsidR="00000000" w:rsidDel="00000000" w:rsidP="00000000" w:rsidRDefault="00000000" w:rsidRPr="00000000" w14:paraId="0000009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Seibel, C., &amp; Dowd, E. (1999). Reactance and therapeutic noncompliance. Cognitive Therapy and Research.</w:t>
            </w:r>
          </w:p>
          <w:p w:rsidR="00000000" w:rsidDel="00000000" w:rsidP="00000000" w:rsidRDefault="00000000" w:rsidRPr="00000000" w14:paraId="0000009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Scent, C. L., &amp; Boes, S. R. (2014). Acceptance and Commitment Training: A Brief Intervention to Reduce Procrastination Among College Students. Journal of College Student Psychotherapy, 28(2), 144–156. doi:10.1080/87568225.2014.883887</w:t>
            </w:r>
          </w:p>
          <w:p w:rsidR="00000000" w:rsidDel="00000000" w:rsidP="00000000" w:rsidRDefault="00000000" w:rsidRPr="00000000" w14:paraId="0000009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Steel, P. (2007). The nature of procrastination: A meta-analytic and theoretical review of quintessential self-regulatory failure. Psychological Bulletin, 133(1), 65–94. doi:10.1037/0033-2909.133.1.65</w:t>
            </w:r>
          </w:p>
          <w:p w:rsidR="00000000" w:rsidDel="00000000" w:rsidP="00000000" w:rsidRDefault="00000000" w:rsidRPr="00000000" w14:paraId="0000009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Van Denburg, T. F., &amp; Kiesler, D. J. (2002). An interpersonal communication perspective on resistance in psychotherapy. Journal of Clinical Psychology, 58(2), 195–205. doi:10.1002/jclp.1143</w:t>
            </w:r>
          </w:p>
          <w:p w:rsidR="00000000" w:rsidDel="00000000" w:rsidP="00000000" w:rsidRDefault="00000000" w:rsidRPr="00000000" w14:paraId="0000009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CRONOGRAMA 2022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80.0" w:type="dxa"/>
        <w:jc w:val="left"/>
        <w:tblInd w:w="0.0" w:type="dxa"/>
        <w:tblBorders>
          <w:top w:color="a3a3a3" w:space="0" w:sz="8" w:val="single"/>
          <w:left w:color="a3a3a3" w:space="0" w:sz="8" w:val="single"/>
          <w:bottom w:color="a3a3a3" w:space="0" w:sz="8" w:val="single"/>
          <w:right w:color="a3a3a3" w:space="0" w:sz="8" w:val="single"/>
        </w:tblBorders>
        <w:tblLayout w:type="fixed"/>
        <w:tblLook w:val="0400"/>
      </w:tblPr>
      <w:tblGrid>
        <w:gridCol w:w="577"/>
        <w:gridCol w:w="795"/>
        <w:gridCol w:w="719"/>
        <w:gridCol w:w="3783"/>
        <w:gridCol w:w="2306"/>
        <w:tblGridChange w:id="0">
          <w:tblGrid>
            <w:gridCol w:w="577"/>
            <w:gridCol w:w="795"/>
            <w:gridCol w:w="719"/>
            <w:gridCol w:w="3783"/>
            <w:gridCol w:w="2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c0c0c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c0c0c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c0c0c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c0c0c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Clase y Contenidos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c0c0c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Evaluaciones y Lecturas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17-3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Introducción teórica y principio de intención positiva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Tarea introductoria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Bib: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Arkowitz, 2002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Herrera, 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24-3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Comprensión del autosabotaje: Modelo de formulación de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Wachtel, 1996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Cowan &amp; Presbury, 2000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31-3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Habilidades Relacionales Básicas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(4)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7-4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para entender la intención positiva o sentido de la conducta problemática: Técnicas Básicas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14-4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para entender la intención positiva o sentido de la conducta problemática: Técnicas de deprivación del síntoma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Herrera, 2020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21-4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para entender la intención positiva o sentido de la conducta problemática: Técnicas de deprivación del síntoma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28-4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para entender la intención positiva o sentido de la conducta problemática: Técnicas de dialogo con partes internas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5-5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para entender la intención positiva o sentido de la conducta problemática: Técnicas de dialogo con partes internas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(9)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12-5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para facilitar la integración: Dialogo de partes y silla vacía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Entrega Trabajo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adbd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adbd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19-5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adbd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adbd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Semana Receso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adbd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(10)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26-5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para facilitar la integración: Dialogo de partes y silla vacía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(11)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2-6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para facilitar la integración: Dialogo de partes y silla vacía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(12)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9-6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Procrastinación. Propuesta de modelo comprensivo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Entrega Trabajo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(13)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16-6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Procrastinación: Autocrítica y Autocompasión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(14)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23-6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Procrastinación: Autocrítica y Autocompasión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(15)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30-6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Procrastinación y Mirada Contextual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(16)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8-7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Co-construcción y evaluación de 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a3a3" w:space="0" w:sz="8" w:val="single"/>
              <w:left w:color="a3a3a3" w:space="0" w:sz="8" w:val="single"/>
              <w:bottom w:color="a3a3a3" w:space="0" w:sz="8" w:val="single"/>
              <w:right w:color="a3a3a3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Entrega Trabajo 3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Jacques Francois Shadow">
    <w:embedRegular w:fontKey="{00000000-0000-0000-0000-000000000000}" r:id="rId1" w:subsetted="0"/>
  </w:font>
  <w:font w:name="Garamon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Arial Narrow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8917DB"/>
    <w:rPr>
      <w:sz w:val="24"/>
      <w:szCs w:val="24"/>
      <w:lang w:eastAsia="es-MX" w:val="es-CL"/>
    </w:rPr>
  </w:style>
  <w:style w:type="paragraph" w:styleId="Ttulo1">
    <w:name w:val="heading 1"/>
    <w:basedOn w:val="Normal"/>
    <w:next w:val="Normal"/>
    <w:link w:val="Ttulo1Car"/>
    <w:qFormat w:val="1"/>
    <w:rsid w:val="00E13848"/>
    <w:pPr>
      <w:keepNext w:val="1"/>
      <w:spacing w:after="60" w:before="240"/>
      <w:outlineLvl w:val="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3">
    <w:name w:val="heading 3"/>
    <w:basedOn w:val="Normal"/>
    <w:next w:val="Normal"/>
    <w:qFormat w:val="1"/>
    <w:rsid w:val="00DE22AB"/>
    <w:pPr>
      <w:keepNext w:val="1"/>
      <w:outlineLvl w:val="2"/>
    </w:pPr>
    <w:rPr>
      <w:u w:val="single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rsid w:val="00B80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rsid w:val="00DE22AB"/>
    <w:pPr>
      <w:spacing w:after="100" w:afterAutospacing="1" w:before="100" w:beforeAutospacing="1"/>
    </w:pPr>
  </w:style>
  <w:style w:type="paragraph" w:styleId="txttitulo" w:customStyle="1">
    <w:name w:val="txttitulo"/>
    <w:basedOn w:val="Normal"/>
    <w:rsid w:val="00DE22AB"/>
    <w:pPr>
      <w:spacing w:after="100" w:before="100"/>
    </w:pPr>
    <w:rPr>
      <w:lang w:eastAsia="en-US"/>
    </w:rPr>
  </w:style>
  <w:style w:type="paragraph" w:styleId="Ttulo">
    <w:name w:val="Title"/>
    <w:basedOn w:val="Normal"/>
    <w:qFormat w:val="1"/>
    <w:rsid w:val="0010595E"/>
    <w:pPr>
      <w:jc w:val="center"/>
    </w:pPr>
    <w:rPr>
      <w:b w:val="1"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color="auto" w:space="0" w:sz="0" w:val="none"/>
      </w:pBdr>
      <w:jc w:val="left"/>
    </w:pPr>
    <w:rPr>
      <w:rFonts w:ascii="Times New Roman" w:cs="Times New Roman" w:hAnsi="Times New Roman"/>
      <w:vanish w:val="0"/>
      <w:sz w:val="24"/>
      <w:szCs w:val="20"/>
      <w:lang w:eastAsia="es-ES_tradnl" w:val="en-US"/>
    </w:rPr>
  </w:style>
  <w:style w:type="character" w:styleId="DireccinHTMLCar" w:customStyle="1">
    <w:name w:val="Dirección HTML Car"/>
    <w:link w:val="DireccinHTML"/>
    <w:rsid w:val="00F129B2"/>
    <w:rPr>
      <w:sz w:val="24"/>
      <w:lang w:eastAsia="es-ES_tradnl" w:val="en-US"/>
    </w:rPr>
  </w:style>
  <w:style w:type="paragraph" w:styleId="z-Principiodelformulario">
    <w:name w:val="HTML Top of Form"/>
    <w:basedOn w:val="Normal"/>
    <w:next w:val="Normal"/>
    <w:link w:val="z-PrincipiodelformularioCar"/>
    <w:hidden w:val="1"/>
    <w:rsid w:val="00F129B2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z-PrincipiodelformularioCar" w:customStyle="1">
    <w:name w:val="z-Principio del formulario Car"/>
    <w:link w:val="z-Principiodelformulario"/>
    <w:rsid w:val="00F129B2"/>
    <w:rPr>
      <w:rFonts w:ascii="Arial" w:cs="Arial" w:hAnsi="Arial"/>
      <w:vanish w:val="1"/>
      <w:sz w:val="16"/>
      <w:szCs w:val="16"/>
    </w:rPr>
  </w:style>
  <w:style w:type="character" w:styleId="Hipervnculo">
    <w:name w:val="Hyperlink"/>
    <w:rsid w:val="00E70DC1"/>
    <w:rPr>
      <w:color w:val="0000ff"/>
      <w:u w:val="single"/>
    </w:rPr>
  </w:style>
  <w:style w:type="paragraph" w:styleId="Mapadeldocumento">
    <w:name w:val="Document Map"/>
    <w:basedOn w:val="Normal"/>
    <w:link w:val="MapadeldocumentoCar"/>
    <w:rsid w:val="00F142B7"/>
  </w:style>
  <w:style w:type="character" w:styleId="MapadeldocumentoCar" w:customStyle="1">
    <w:name w:val="Mapa del documento Car"/>
    <w:link w:val="Mapadeldocumento"/>
    <w:rsid w:val="00F142B7"/>
    <w:rPr>
      <w:sz w:val="24"/>
      <w:szCs w:val="24"/>
      <w:lang w:eastAsia="es-ES" w:val="es-ES"/>
    </w:rPr>
  </w:style>
  <w:style w:type="character" w:styleId="Refdecomentario">
    <w:name w:val="annotation reference"/>
    <w:rsid w:val="005A00B6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5A00B6"/>
  </w:style>
  <w:style w:type="character" w:styleId="TextocomentarioCar" w:customStyle="1">
    <w:name w:val="Texto comentario Car"/>
    <w:link w:val="Textocomentario"/>
    <w:rsid w:val="005A00B6"/>
    <w:rPr>
      <w:sz w:val="24"/>
      <w:szCs w:val="24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A00B6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link w:val="Asuntodelcomentario"/>
    <w:rsid w:val="005A00B6"/>
    <w:rPr>
      <w:b w:val="1"/>
      <w:bCs w:val="1"/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rsid w:val="005A00B6"/>
    <w:rPr>
      <w:sz w:val="18"/>
      <w:szCs w:val="18"/>
    </w:rPr>
  </w:style>
  <w:style w:type="character" w:styleId="TextodegloboCar" w:customStyle="1">
    <w:name w:val="Texto de globo Car"/>
    <w:link w:val="Textodeglobo"/>
    <w:rsid w:val="005A00B6"/>
    <w:rPr>
      <w:sz w:val="18"/>
      <w:szCs w:val="18"/>
      <w:lang w:eastAsia="es-ES" w:val="es-ES"/>
    </w:rPr>
  </w:style>
  <w:style w:type="character" w:styleId="Hipervnculovisitado">
    <w:name w:val="FollowedHyperlink"/>
    <w:rsid w:val="000B0EB1"/>
    <w:rPr>
      <w:color w:val="954f72"/>
      <w:u w:val="single"/>
    </w:rPr>
  </w:style>
  <w:style w:type="character" w:styleId="Ttulo1Car" w:customStyle="1">
    <w:name w:val="Título 1 Car"/>
    <w:link w:val="Ttulo1"/>
    <w:rsid w:val="00E13848"/>
    <w:rPr>
      <w:rFonts w:ascii="Calibri Light" w:cs="Times New Roman" w:eastAsia="Times New Roman" w:hAnsi="Calibri Light"/>
      <w:b w:val="1"/>
      <w:bCs w:val="1"/>
      <w:kern w:val="32"/>
      <w:sz w:val="32"/>
      <w:szCs w:val="32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eresdesarrollohumano.com/post/68362117497/como-deje-de-procrastinar-usando-la-ley-del-minimo" TargetMode="External"/><Relationship Id="rId10" Type="http://schemas.openxmlformats.org/officeDocument/2006/relationships/hyperlink" Target="http://ceresdesarrollohumano.com/post/67747139284/como-logre-dejar-de-procrastinar-usando-la-ley-del" TargetMode="External"/><Relationship Id="rId13" Type="http://schemas.openxmlformats.org/officeDocument/2006/relationships/hyperlink" Target="http://ceresdesarrollohumano.com/post/96005011033/como-abordar-proyectos-de-largo-plazo-sin" TargetMode="External"/><Relationship Id="rId12" Type="http://schemas.openxmlformats.org/officeDocument/2006/relationships/hyperlink" Target="http://ceresdesarrollohumano.com/post/95381947503/como-abordar-proyectos-de-largo-plazo-si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eresdesarrollohumano.com/post/104923920803/por-que-no-seguimos-los-tratamientos-medicos-e" TargetMode="External"/><Relationship Id="rId14" Type="http://schemas.openxmlformats.org/officeDocument/2006/relationships/hyperlink" Target="http://www.coherencetherapy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ceresdesarrollohumano.com/post/104330587283/por-que-no-seguimos-los-tratamientos-medicos-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Relationship Id="rId2" Type="http://schemas.openxmlformats.org/officeDocument/2006/relationships/font" Target="fonts/Garamond-regular.ttf"/><Relationship Id="rId3" Type="http://schemas.openxmlformats.org/officeDocument/2006/relationships/font" Target="fonts/Garamond-bold.ttf"/><Relationship Id="rId4" Type="http://schemas.openxmlformats.org/officeDocument/2006/relationships/font" Target="fonts/Garamond-italic.ttf"/><Relationship Id="rId9" Type="http://schemas.openxmlformats.org/officeDocument/2006/relationships/font" Target="fonts/ArialNarrow-boldItalic.ttf"/><Relationship Id="rId5" Type="http://schemas.openxmlformats.org/officeDocument/2006/relationships/font" Target="fonts/Garamond-boldItalic.ttf"/><Relationship Id="rId6" Type="http://schemas.openxmlformats.org/officeDocument/2006/relationships/font" Target="fonts/ArialNarrow-regular.ttf"/><Relationship Id="rId7" Type="http://schemas.openxmlformats.org/officeDocument/2006/relationships/font" Target="fonts/ArialNarrow-bold.ttf"/><Relationship Id="rId8" Type="http://schemas.openxmlformats.org/officeDocument/2006/relationships/font" Target="fonts/ArialNarrow-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86MDTuqjI0t0uAnH0p20eFqow==">AMUW2mXsMU11kjIJHkLSf9NoVw6GGsPymTjvgmWUTnqO9r+WR5PF3tXqubnjpauaF7GYz4p2OYjwa9BUD5wXSEP1L5uGSTae6cC4etJ9UKX4xXZUgQ4eJe8=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2022-01-07T23:25:00Z</dcterms:created>
  <dc:creator>Rodrigo Asún</dc:creator>
</cp:coreProperties>
</file>