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Universidad de Chile </w:t>
      </w:r>
      <w:r w:rsidDel="00000000" w:rsidR="00000000" w:rsidRPr="00000000">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323850" cy="685800"/>
            <wp:effectExtent b="0" l="0" r="0" t="0"/>
            <wp:wrapSquare wrapText="bothSides" distB="0" distT="0" distL="114300" distR="114300"/>
            <wp:docPr descr="Logo_Uchile" id="3" name="image1.png"/>
            <a:graphic>
              <a:graphicData uri="http://schemas.openxmlformats.org/drawingml/2006/picture">
                <pic:pic>
                  <pic:nvPicPr>
                    <pic:cNvPr descr="Logo_Uchile" id="0" name="image1.png"/>
                    <pic:cNvPicPr preferRelativeResize="0"/>
                  </pic:nvPicPr>
                  <pic:blipFill>
                    <a:blip r:embed="rId7"/>
                    <a:srcRect b="0" l="0" r="0" t="0"/>
                    <a:stretch>
                      <a:fillRect/>
                    </a:stretch>
                  </pic:blipFill>
                  <pic:spPr>
                    <a:xfrm>
                      <a:off x="0" y="0"/>
                      <a:ext cx="323850" cy="685800"/>
                    </a:xfrm>
                    <a:prstGeom prst="rect"/>
                    <a:ln/>
                  </pic:spPr>
                </pic:pic>
              </a:graphicData>
            </a:graphic>
          </wp:anchor>
        </w:drawing>
      </w:r>
    </w:p>
    <w:p w:rsidR="00000000" w:rsidDel="00000000" w:rsidP="00000000" w:rsidRDefault="00000000" w:rsidRPr="00000000" w14:paraId="00000002">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Facultad de Ciencias Sociales</w:t>
      </w:r>
    </w:p>
    <w:p w:rsidR="00000000" w:rsidDel="00000000" w:rsidP="00000000" w:rsidRDefault="00000000" w:rsidRPr="00000000" w14:paraId="00000003">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Escuela de Ciencias Sociales</w:t>
      </w:r>
    </w:p>
    <w:p w:rsidR="00000000" w:rsidDel="00000000" w:rsidP="00000000" w:rsidRDefault="00000000" w:rsidRPr="00000000" w14:paraId="00000004">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Carrera de Psicología</w:t>
      </w:r>
    </w:p>
    <w:p w:rsidR="00000000" w:rsidDel="00000000" w:rsidP="00000000" w:rsidRDefault="00000000" w:rsidRPr="00000000" w14:paraId="00000005">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Programa</w:t>
      </w:r>
    </w:p>
    <w:p w:rsidR="00000000" w:rsidDel="00000000" w:rsidP="00000000" w:rsidRDefault="00000000" w:rsidRPr="00000000" w14:paraId="00000007">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Taller de Investigación Cualitativa: Producción y análisis de información</w:t>
      </w:r>
    </w:p>
    <w:p w:rsidR="00000000" w:rsidDel="00000000" w:rsidP="00000000" w:rsidRDefault="00000000" w:rsidRPr="00000000" w14:paraId="00000008">
      <w:pPr>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1"/>
        <w:tblW w:w="9782.0" w:type="dxa"/>
        <w:jc w:val="left"/>
        <w:tblInd w:w="-176.0" w:type="dxa"/>
        <w:tblLayout w:type="fixed"/>
        <w:tblLook w:val="0400"/>
      </w:tblPr>
      <w:tblGrid>
        <w:gridCol w:w="3807"/>
        <w:gridCol w:w="5975"/>
        <w:tblGridChange w:id="0">
          <w:tblGrid>
            <w:gridCol w:w="3807"/>
            <w:gridCol w:w="597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09">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 Identificación de la actividad curricular</w:t>
            </w:r>
          </w:p>
        </w:tc>
      </w:tr>
      <w:tr>
        <w:trPr>
          <w:cantSplit w:val="0"/>
          <w:tblHeader w:val="0"/>
        </w:trPr>
        <w:tc>
          <w:tcPr>
            <w:tcBorders>
              <w:lef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0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Carrera en que se dicta:</w:t>
            </w:r>
          </w:p>
        </w:tc>
        <w:tc>
          <w:tcPr>
            <w:tcBorders>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0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Psicología</w:t>
            </w:r>
          </w:p>
        </w:tc>
      </w:tr>
      <w:tr>
        <w:trPr>
          <w:cantSplit w:val="0"/>
          <w:tblHeader w:val="0"/>
        </w:trPr>
        <w:tc>
          <w:tcPr>
            <w:tcBorders>
              <w:lef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0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Profesor o equipo:</w:t>
            </w:r>
          </w:p>
        </w:tc>
        <w:tc>
          <w:tcPr>
            <w:tcBorders>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0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Soledad Ruiz Jabbaz</w:t>
            </w:r>
          </w:p>
        </w:tc>
      </w:tr>
      <w:tr>
        <w:trPr>
          <w:cantSplit w:val="0"/>
          <w:tblHeader w:val="0"/>
        </w:trPr>
        <w:tc>
          <w:tcPr>
            <w:tcBorders>
              <w:lef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0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Ciclo al que pertenece:</w:t>
            </w:r>
          </w:p>
        </w:tc>
        <w:tc>
          <w:tcPr>
            <w:tcBorders>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Profundización</w:t>
            </w:r>
          </w:p>
        </w:tc>
      </w:tr>
      <w:tr>
        <w:trPr>
          <w:cantSplit w:val="0"/>
          <w:tblHeader w:val="0"/>
        </w:trPr>
        <w:tc>
          <w:tcPr>
            <w:tcBorders>
              <w:lef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Semestre:</w:t>
            </w:r>
          </w:p>
        </w:tc>
        <w:tc>
          <w:tcPr>
            <w:tcBorders>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2">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tl w:val="0"/>
              </w:rPr>
            </w:r>
          </w:p>
        </w:tc>
      </w:tr>
      <w:tr>
        <w:trPr>
          <w:cantSplit w:val="0"/>
          <w:tblHeader w:val="0"/>
        </w:trPr>
        <w:tc>
          <w:tcPr>
            <w:tcBorders>
              <w:lef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Modalidad:</w:t>
            </w:r>
          </w:p>
        </w:tc>
        <w:tc>
          <w:tcPr>
            <w:tcBorders>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4">
            <w:pP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tcBorders>
              <w:lef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5">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Carácter:</w:t>
            </w:r>
          </w:p>
        </w:tc>
        <w:tc>
          <w:tcPr>
            <w:tcBorders>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6">
            <w:pP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tcBorders>
              <w:lef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 - requisitos:</w:t>
            </w:r>
          </w:p>
        </w:tc>
        <w:tc>
          <w:tcPr>
            <w:tcBorders>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Metodología Cualitativa</w:t>
            </w:r>
          </w:p>
        </w:tc>
      </w:tr>
      <w:tr>
        <w:trPr>
          <w:cantSplit w:val="0"/>
          <w:tblHeader w:val="0"/>
        </w:trPr>
        <w:tc>
          <w:tcPr>
            <w:tcBorders>
              <w:lef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Año</w:t>
            </w:r>
          </w:p>
        </w:tc>
        <w:tc>
          <w:tcPr>
            <w:tcBorders>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A">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2022</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B">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II.- Descripción / Justificación de la actividad curricular</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D">
            <w:pPr>
              <w:spacing w:after="160" w:line="259" w:lineRule="auto"/>
              <w:jc w:val="both"/>
              <w:rPr>
                <w:rFonts w:ascii="Gulim" w:cs="Gulim" w:eastAsia="Gulim" w:hAnsi="Gulim"/>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Curso teórico-práctico del ciclo de profundización, que tiene como propósito continuar la formación en metodologías cualitativas, comenzada con el curso “Metodología de la Investigación Cualitativa”. Para tal efecto se trabajará en modalidad taller, supervisando a los/as alumnos/as en la producción de información cualitativa, y su análisis con dos técnicas: Teoría Empíricamente Fundamentada y Análisis Estructural de Discurso.</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F">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III.- Objetivos de la actividad curricular</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21">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 finalizar el curso los/las alumnos/as:</w:t>
              <w:tab/>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Serán capaces de producir información a través de la entrevista en profundidad.</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Conocerán las similitudes y diferencias del análisis desde la Teoría Empíricamente Fundamentada y desde el Análisis Estructural de Discurso.</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Serán capaces de realizar análisis cualitativo de textos a partir de la Teoría Empíricamente Fundamentada y el Análisis Estructural de Discurso.</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27">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IV.- Temáticas o contenidos de la actividad curricular</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29">
            <w:pPr>
              <w:jc w:val="both"/>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02A">
            <w:pPr>
              <w:tabs>
                <w:tab w:val="left" w:pos="1065"/>
                <w:tab w:val="left" w:pos="1169"/>
              </w:tabs>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Producción de información con metodologías cualitativas.</w:t>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677"/>
                <w:tab w:val="left" w:pos="1065"/>
                <w:tab w:val="left" w:pos="1169"/>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Principios generales de la producción de información con metodologías cualitativas. </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677"/>
                <w:tab w:val="left" w:pos="1065"/>
                <w:tab w:val="left" w:pos="1169"/>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Técnica de producción de información: la entrevista en profundidad.</w:t>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677"/>
                <w:tab w:val="left" w:pos="1065"/>
                <w:tab w:val="left" w:pos="1169"/>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Preparación del material para el análisis</w:t>
            </w:r>
          </w:p>
          <w:p w:rsidR="00000000" w:rsidDel="00000000" w:rsidP="00000000" w:rsidRDefault="00000000" w:rsidRPr="00000000" w14:paraId="0000002E">
            <w:pPr>
              <w:tabs>
                <w:tab w:val="left" w:pos="1065"/>
                <w:tab w:val="left" w:pos="1169"/>
              </w:tabs>
              <w:ind w:left="743"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F">
            <w:pPr>
              <w:tabs>
                <w:tab w:val="left" w:pos="1065"/>
                <w:tab w:val="left" w:pos="1169"/>
              </w:tabs>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El análisis cualitativo: conceptos clave.</w:t>
            </w:r>
          </w:p>
          <w:p w:rsidR="00000000" w:rsidDel="00000000" w:rsidP="00000000" w:rsidRDefault="00000000" w:rsidRPr="00000000" w14:paraId="000000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677"/>
                <w:tab w:val="left" w:pos="1065"/>
                <w:tab w:val="left" w:pos="1169"/>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comprensión y la interpretación en el análisis cualitativo.</w:t>
            </w:r>
          </w:p>
          <w:p w:rsidR="00000000" w:rsidDel="00000000" w:rsidP="00000000" w:rsidRDefault="00000000" w:rsidRPr="00000000" w14:paraId="000000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677"/>
                <w:tab w:val="left" w:pos="1065"/>
                <w:tab w:val="left" w:pos="1169"/>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Tipos de análisis cualitativo: análisis de contenido y análisis de discurso. </w:t>
            </w:r>
          </w:p>
          <w:p w:rsidR="00000000" w:rsidDel="00000000" w:rsidP="00000000" w:rsidRDefault="00000000" w:rsidRPr="00000000" w14:paraId="000000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677"/>
                <w:tab w:val="left" w:pos="1065"/>
                <w:tab w:val="left" w:pos="1169"/>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Ubicación del análisis desde la TEF y AED dentro de la panorámica.</w:t>
            </w:r>
          </w:p>
          <w:p w:rsidR="00000000" w:rsidDel="00000000" w:rsidP="00000000" w:rsidRDefault="00000000" w:rsidRPr="00000000" w14:paraId="00000033">
            <w:pPr>
              <w:tabs>
                <w:tab w:val="left" w:pos="1065"/>
                <w:tab w:val="left" w:pos="1169"/>
              </w:tabs>
              <w:ind w:left="743"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4">
            <w:pPr>
              <w:tabs>
                <w:tab w:val="left" w:pos="1065"/>
                <w:tab w:val="left" w:pos="1169"/>
              </w:tabs>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El análisis desde la Teoría Empíricamente Fundamentada (TEF)</w:t>
            </w:r>
          </w:p>
          <w:p w:rsidR="00000000" w:rsidDel="00000000" w:rsidP="00000000" w:rsidRDefault="00000000" w:rsidRPr="00000000" w14:paraId="000000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065"/>
                <w:tab w:val="left" w:pos="1169"/>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Análisis descriptivo: Codificación abierta</w:t>
            </w:r>
          </w:p>
          <w:p w:rsidR="00000000" w:rsidDel="00000000" w:rsidP="00000000" w:rsidRDefault="00000000" w:rsidRPr="00000000" w14:paraId="00000036">
            <w:pPr>
              <w:numPr>
                <w:ilvl w:val="0"/>
                <w:numId w:val="3"/>
              </w:numPr>
              <w:tabs>
                <w:tab w:val="left" w:pos="1065"/>
                <w:tab w:val="left" w:pos="1169"/>
              </w:tabs>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generación de conceptos y categorías</w:t>
            </w:r>
          </w:p>
          <w:p w:rsidR="00000000" w:rsidDel="00000000" w:rsidP="00000000" w:rsidRDefault="00000000" w:rsidRPr="00000000" w14:paraId="00000037">
            <w:pPr>
              <w:numPr>
                <w:ilvl w:val="0"/>
                <w:numId w:val="3"/>
              </w:numPr>
              <w:tabs>
                <w:tab w:val="left" w:pos="1065"/>
                <w:tab w:val="left" w:pos="1169"/>
              </w:tabs>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Las estructuras jerarquizadas</w:t>
            </w:r>
          </w:p>
          <w:p w:rsidR="00000000" w:rsidDel="00000000" w:rsidP="00000000" w:rsidRDefault="00000000" w:rsidRPr="00000000" w14:paraId="00000038">
            <w:pPr>
              <w:numPr>
                <w:ilvl w:val="0"/>
                <w:numId w:val="3"/>
              </w:numPr>
              <w:tabs>
                <w:tab w:val="left" w:pos="1065"/>
                <w:tab w:val="left" w:pos="1169"/>
              </w:tabs>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uso de memos</w:t>
            </w:r>
          </w:p>
          <w:p w:rsidR="00000000" w:rsidDel="00000000" w:rsidP="00000000" w:rsidRDefault="00000000" w:rsidRPr="00000000" w14:paraId="00000039">
            <w:pPr>
              <w:numPr>
                <w:ilvl w:val="0"/>
                <w:numId w:val="3"/>
              </w:numPr>
              <w:tabs>
                <w:tab w:val="left" w:pos="1065"/>
                <w:tab w:val="left" w:pos="1169"/>
              </w:tabs>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comparación constante: el análisis intercaso</w:t>
            </w:r>
          </w:p>
          <w:p w:rsidR="00000000" w:rsidDel="00000000" w:rsidP="00000000" w:rsidRDefault="00000000" w:rsidRPr="00000000" w14:paraId="0000003A">
            <w:pPr>
              <w:tabs>
                <w:tab w:val="left" w:pos="1065"/>
                <w:tab w:val="left" w:pos="1169"/>
              </w:tabs>
              <w:ind w:left="743"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B">
            <w:pPr>
              <w:tabs>
                <w:tab w:val="left" w:pos="1065"/>
                <w:tab w:val="left" w:pos="1169"/>
              </w:tabs>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El análisis desde la Perspectiva Estructural del Discurso (AED)</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065"/>
                <w:tab w:val="left" w:pos="1169"/>
              </w:tabs>
              <w:spacing w:after="0" w:before="0" w:line="240" w:lineRule="auto"/>
              <w:ind w:left="708"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Códigos de base. </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065"/>
                <w:tab w:val="left" w:pos="1169"/>
              </w:tabs>
              <w:spacing w:after="0" w:before="0" w:line="240" w:lineRule="auto"/>
              <w:ind w:left="708"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Códigos de calificación.</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065"/>
                <w:tab w:val="left" w:pos="1169"/>
              </w:tabs>
              <w:spacing w:after="0" w:before="0" w:line="240" w:lineRule="auto"/>
              <w:ind w:left="708"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Condensación de términos y de códigos.</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065"/>
                <w:tab w:val="left" w:pos="1169"/>
              </w:tabs>
              <w:spacing w:after="0" w:before="0" w:line="240" w:lineRule="auto"/>
              <w:ind w:left="708"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Relación entre ejes de calificación</w:t>
            </w:r>
          </w:p>
          <w:p w:rsidR="00000000" w:rsidDel="00000000" w:rsidP="00000000" w:rsidRDefault="00000000" w:rsidRPr="00000000" w14:paraId="00000040">
            <w:pPr>
              <w:tabs>
                <w:tab w:val="left" w:pos="1065"/>
                <w:tab w:val="left" w:pos="1169"/>
              </w:tabs>
              <w:ind w:left="743" w:firstLine="0"/>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2">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 Metodología de la actividad curricular</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4">
            <w:pPr>
              <w:tabs>
                <w:tab w:val="left" w:pos="284"/>
                <w:tab w:val="left" w:pos="360"/>
                <w:tab w:val="left" w:pos="720"/>
              </w:tabs>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5">
            <w:pPr>
              <w:tabs>
                <w:tab w:val="left" w:pos="284"/>
                <w:tab w:val="left" w:pos="360"/>
                <w:tab w:val="left" w:pos="720"/>
              </w:tabs>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curso tendrá modalidad taller, esto es, habrá clases lectivas, en que la profesora expondrá contenidos, y clases prácticas, guiadas y supervisadas por la docente, en que se aplicarán los contenidos.</w:t>
            </w:r>
          </w:p>
          <w:p w:rsidR="00000000" w:rsidDel="00000000" w:rsidP="00000000" w:rsidRDefault="00000000" w:rsidRPr="00000000" w14:paraId="00000046">
            <w:pPr>
              <w:tabs>
                <w:tab w:val="left" w:pos="284"/>
                <w:tab w:val="left" w:pos="360"/>
                <w:tab w:val="left" w:pos="720"/>
              </w:tabs>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7">
            <w:pPr>
              <w:tabs>
                <w:tab w:val="left" w:pos="284"/>
                <w:tab w:val="left" w:pos="360"/>
                <w:tab w:val="left" w:pos="720"/>
              </w:tabs>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Para ello:</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05"/>
                <w:tab w:val="left" w:pos="720"/>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Los/las alumnos/as deberán reunirse en grupos. </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05"/>
                <w:tab w:val="left" w:pos="720"/>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comenzar, se elegirá en conjunto con todos los grupos la temática a trabajar. </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05"/>
              </w:tabs>
              <w:spacing w:after="0" w:before="0" w:line="240" w:lineRule="auto"/>
              <w:ind w:left="205" w:right="0" w:hanging="20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partir de allí se diseñará en conjunto con todos los grupos el guión de entrevista que utilizarán para producir la información.</w:t>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05"/>
              </w:tabs>
              <w:spacing w:after="0" w:before="0" w:line="240" w:lineRule="auto"/>
              <w:ind w:left="205" w:right="0" w:hanging="20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Cada grupo deberá analizar el material desde una perspectiva de análisis: TEF o AED. Esto será realizado a través de exposiciones en clases, apoyadas por la docente, y con el aporte de todos los grupos.</w:t>
            </w:r>
          </w:p>
          <w:p w:rsidR="00000000" w:rsidDel="00000000" w:rsidP="00000000" w:rsidRDefault="00000000" w:rsidRPr="00000000" w14:paraId="0000004C">
            <w:pPr>
              <w:tabs>
                <w:tab w:val="left" w:pos="284"/>
                <w:tab w:val="left" w:pos="360"/>
                <w:tab w:val="left" w:pos="720"/>
              </w:tabs>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E">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VI.- Evaluación de la actividad curricular</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0">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curso tendrá la siguiente forma de evaluación grupal:</w:t>
            </w:r>
          </w:p>
          <w:p w:rsidR="00000000" w:rsidDel="00000000" w:rsidP="00000000" w:rsidRDefault="00000000" w:rsidRPr="00000000" w14:paraId="00000051">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2">
            <w:pPr>
              <w:numPr>
                <w:ilvl w:val="0"/>
                <w:numId w:val="8"/>
              </w:numPr>
              <w:tabs>
                <w:tab w:val="left" w:pos="0"/>
                <w:tab w:val="left" w:pos="276"/>
              </w:tabs>
              <w:ind w:left="34" w:hanging="3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Entrega transcrita de la entrevista realizada (10% de la nota).</w:t>
            </w:r>
          </w:p>
          <w:p w:rsidR="00000000" w:rsidDel="00000000" w:rsidP="00000000" w:rsidRDefault="00000000" w:rsidRPr="00000000" w14:paraId="00000053">
            <w:pPr>
              <w:numPr>
                <w:ilvl w:val="0"/>
                <w:numId w:val="8"/>
              </w:numPr>
              <w:tabs>
                <w:tab w:val="left" w:pos="0"/>
                <w:tab w:val="left" w:pos="276"/>
              </w:tabs>
              <w:ind w:left="34" w:hanging="3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Exposición del análisis (en proceso) desde la perspectiva de la TEF o AED  (45% de la nota)</w:t>
            </w:r>
          </w:p>
          <w:p w:rsidR="00000000" w:rsidDel="00000000" w:rsidP="00000000" w:rsidRDefault="00000000" w:rsidRPr="00000000" w14:paraId="00000054">
            <w:pPr>
              <w:numPr>
                <w:ilvl w:val="0"/>
                <w:numId w:val="8"/>
              </w:numPr>
              <w:tabs>
                <w:tab w:val="left" w:pos="0"/>
                <w:tab w:val="left" w:pos="276"/>
              </w:tabs>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Informe Final (45% de la nota)</w:t>
            </w:r>
          </w:p>
          <w:p w:rsidR="00000000" w:rsidDel="00000000" w:rsidP="00000000" w:rsidRDefault="00000000" w:rsidRPr="00000000" w14:paraId="00000055">
            <w:pPr>
              <w:tabs>
                <w:tab w:val="left" w:pos="360"/>
              </w:tabs>
              <w:ind w:right="53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Nota de eximición del examen: 5.5</w:t>
            </w:r>
          </w:p>
          <w:p w:rsidR="00000000" w:rsidDel="00000000" w:rsidP="00000000" w:rsidRDefault="00000000" w:rsidRPr="00000000" w14:paraId="00000057">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nota del examen tiene un peso de 40% en la nota final del curso.</w:t>
            </w:r>
          </w:p>
          <w:p w:rsidR="00000000" w:rsidDel="00000000" w:rsidP="00000000" w:rsidRDefault="00000000" w:rsidRPr="00000000" w14:paraId="00000058">
            <w:pPr>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A">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VII.- Bibliografía básica y obligatoria de la actividad curricular</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C">
            <w:pPr>
              <w:ind w:left="489" w:hanging="48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Flick, U. (2004).</w:t>
            </w:r>
            <w:r w:rsidDel="00000000" w:rsidR="00000000" w:rsidRPr="00000000">
              <w:rPr>
                <w:rFonts w:ascii="Times New Roman" w:cs="Times New Roman" w:eastAsia="Times New Roman" w:hAnsi="Times New Roman"/>
                <w:i w:val="1"/>
                <w:sz w:val="24"/>
                <w:szCs w:val="24"/>
                <w:rtl w:val="0"/>
              </w:rPr>
              <w:t xml:space="preserve"> Introducción a la Investigación Cualitativa</w:t>
            </w:r>
            <w:r w:rsidDel="00000000" w:rsidR="00000000" w:rsidRPr="00000000">
              <w:rPr>
                <w:rFonts w:ascii="Times New Roman" w:cs="Times New Roman" w:eastAsia="Times New Roman" w:hAnsi="Times New Roman"/>
                <w:sz w:val="24"/>
                <w:szCs w:val="24"/>
                <w:rtl w:val="0"/>
              </w:rPr>
              <w:t xml:space="preserve">. Madrid: Morata. (Cap. XV, </w:t>
            </w:r>
            <w:r w:rsidDel="00000000" w:rsidR="00000000" w:rsidRPr="00000000">
              <w:rPr>
                <w:rFonts w:ascii="Times New Roman" w:cs="Times New Roman" w:eastAsia="Times New Roman" w:hAnsi="Times New Roman"/>
                <w:b w:val="1"/>
                <w:sz w:val="24"/>
                <w:szCs w:val="24"/>
                <w:u w:val="single"/>
                <w:rtl w:val="0"/>
              </w:rPr>
              <w:t xml:space="preserve">desde pp. 192 – hasta 206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9" w:right="533" w:hanging="489"/>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Martinic</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 (1992).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Análisis estructural. Presentación de un método para el estudio de lógicas culturales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Santiago: Centro de Investigación y Desarrollo de la Educación (CIDE).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9" w:right="533" w:hanging="48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Taylor, S. J. &amp; Bogdan, R. (1986).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Introducción a los métodos cualitativos de investigación. La búsqueda de significados.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Buenos Aires: Paidós. Cap. 4 La Entrevista en profundidad.</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9" w:right="533" w:hanging="48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1">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VIII.- Bibliografía complementaria</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3">
            <w:pPr>
              <w:ind w:left="489" w:hanging="489"/>
              <w:jc w:val="both"/>
              <w:rPr>
                <w:rFonts w:ascii="Times New Roman" w:cs="Times New Roman" w:eastAsia="Times New Roman" w:hAnsi="Times New Roman"/>
                <w:strike w:val="1"/>
                <w:sz w:val="24"/>
                <w:szCs w:val="24"/>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92"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García, M. &amp;  Madriaza, P. (2005). Sentido y Propósito de la Violencia Escolar.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de Psicología de la Universidad de Chile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 XIV, Nº 1, pp. 41-59.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92"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Legewie, H. (2004, diciembre).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investigación es trabajo duro, siempre está unida a cierta dosis de sufrimiento. De ahí que por otro lado deba ser entretenida, divertida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Forum: Qualitative Social Research [On-Line Journal], 5(3). Disponible en: </w:t>
            </w:r>
            <w:hyperlink r:id="rI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http://www.qualitative-research.net/fqs-texte/3-04/04-3-22b-s.htm</w:t>
              </w:r>
            </w:hyperlink>
            <w:r w:rsidDel="00000000" w:rsidR="00000000" w:rsidRPr="00000000">
              <w:rPr>
                <w:rtl w:val="0"/>
              </w:rPr>
            </w:r>
          </w:p>
          <w:p w:rsidR="00000000" w:rsidDel="00000000" w:rsidP="00000000" w:rsidRDefault="00000000" w:rsidRPr="00000000" w14:paraId="00000066">
            <w:pPr>
              <w:ind w:left="489" w:hanging="48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Mella, O. (2000). </w:t>
            </w:r>
            <w:r w:rsidDel="00000000" w:rsidR="00000000" w:rsidRPr="00000000">
              <w:rPr>
                <w:rFonts w:ascii="Times New Roman" w:cs="Times New Roman" w:eastAsia="Times New Roman" w:hAnsi="Times New Roman"/>
                <w:i w:val="1"/>
                <w:color w:val="000000"/>
                <w:sz w:val="24"/>
                <w:szCs w:val="24"/>
                <w:rtl w:val="0"/>
              </w:rPr>
              <w:t xml:space="preserve">Grupos focales. Técnica de Investigación Cualitativa</w:t>
            </w:r>
            <w:r w:rsidDel="00000000" w:rsidR="00000000" w:rsidRPr="00000000">
              <w:rPr>
                <w:rFonts w:ascii="Times New Roman" w:cs="Times New Roman" w:eastAsia="Times New Roman" w:hAnsi="Times New Roman"/>
                <w:color w:val="000000"/>
                <w:sz w:val="24"/>
                <w:szCs w:val="24"/>
                <w:rtl w:val="0"/>
              </w:rPr>
              <w:t xml:space="preserve">. Santiago: CIDE.</w:t>
            </w:r>
          </w:p>
          <w:p w:rsidR="00000000" w:rsidDel="00000000" w:rsidP="00000000" w:rsidRDefault="00000000" w:rsidRPr="00000000" w14:paraId="00000067">
            <w:pPr>
              <w:ind w:left="489" w:hanging="489"/>
              <w:jc w:val="both"/>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z w:val="24"/>
                <w:szCs w:val="24"/>
                <w:rtl w:val="0"/>
              </w:rPr>
              <w:t xml:space="preserve">Schiffrin, D. (1994). Cap. 2 Definitions of Discourse, pp. 20 – pp.41. En </w:t>
            </w:r>
            <w:r w:rsidDel="00000000" w:rsidR="00000000" w:rsidRPr="00000000">
              <w:rPr>
                <w:rFonts w:ascii="Times New Roman" w:cs="Times New Roman" w:eastAsia="Times New Roman" w:hAnsi="Times New Roman"/>
                <w:i w:val="1"/>
                <w:sz w:val="24"/>
                <w:szCs w:val="24"/>
                <w:rtl w:val="0"/>
              </w:rPr>
              <w:t xml:space="preserve">Approaches to Discourse</w:t>
            </w:r>
            <w:r w:rsidDel="00000000" w:rsidR="00000000" w:rsidRPr="00000000">
              <w:rPr>
                <w:rFonts w:ascii="Times New Roman" w:cs="Times New Roman" w:eastAsia="Times New Roman" w:hAnsi="Times New Roman"/>
                <w:sz w:val="24"/>
                <w:szCs w:val="24"/>
                <w:rtl w:val="0"/>
              </w:rPr>
              <w:t xml:space="preserve">. Malden, USA: Blackwell.</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92"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Suárez, H. J. (2006). La palabra y el sentido. Análisis del discurso de Joaquín Sabina.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Mexicana de Sociología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68 (1), (enero-marzo, 2006), pp. 49-79.</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Disponible en </w:t>
            </w:r>
            <w:hyperlink r:id="rId10">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http://www.ejournal.unam.mx/rms/2006-1/RMS006000102.pdf</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9" w:right="533" w:hanging="48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Toledo, M.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Guía para la aplicación del análisis estructural de contenido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Santiago de Chile: Universidad Diego Portales. (pp. 19 – 31)</w:t>
            </w:r>
          </w:p>
          <w:p w:rsidR="00000000" w:rsidDel="00000000" w:rsidP="00000000" w:rsidRDefault="00000000" w:rsidRPr="00000000" w14:paraId="0000006A">
            <w:pPr>
              <w:ind w:left="489" w:hanging="48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 Dijk, T. (2000). </w:t>
            </w:r>
            <w:r w:rsidDel="00000000" w:rsidR="00000000" w:rsidRPr="00000000">
              <w:rPr>
                <w:rFonts w:ascii="Times New Roman" w:cs="Times New Roman" w:eastAsia="Times New Roman" w:hAnsi="Times New Roman"/>
                <w:i w:val="1"/>
                <w:sz w:val="24"/>
                <w:szCs w:val="24"/>
                <w:rtl w:val="0"/>
              </w:rPr>
              <w:t xml:space="preserve">El discurso como estructura y proceso</w:t>
            </w:r>
            <w:r w:rsidDel="00000000" w:rsidR="00000000" w:rsidRPr="00000000">
              <w:rPr>
                <w:rFonts w:ascii="Times New Roman" w:cs="Times New Roman" w:eastAsia="Times New Roman" w:hAnsi="Times New Roman"/>
                <w:sz w:val="24"/>
                <w:szCs w:val="24"/>
                <w:rtl w:val="0"/>
              </w:rPr>
              <w:t xml:space="preserve">. Editorial Gedisa. Barcelona: España. (CAP 1. El estudio del discurso. pp. 21- 65.)</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92" w:hanging="363"/>
              <w:jc w:val="both"/>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D">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color w:val="000000"/>
          <w:sz w:val="24"/>
          <w:szCs w:val="24"/>
        </w:rPr>
      </w:pPr>
      <w:r w:rsidDel="00000000" w:rsidR="00000000" w:rsidRPr="00000000">
        <w:rPr>
          <w:rtl w:val="0"/>
        </w:rPr>
      </w:r>
    </w:p>
    <w:sectPr>
      <w:pgSz w:h="15840" w:w="1224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lim"/>
  <w:font w:name="Courier New"/>
  <w:font w:name="Times"/>
  <w:font w:name="Noto Sans Symbols"/>
  <w:font w:name="Nanum Gothi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08" w:firstLine="0"/>
      </w:pPr>
      <w:rPr>
        <w:rFonts w:ascii="Noto Sans Symbols" w:cs="Noto Sans Symbols" w:eastAsia="Noto Sans Symbols" w:hAnsi="Noto Sans Symbols"/>
        <w:sz w:val="24"/>
        <w:szCs w:val="2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firstLine="0"/>
      </w:pPr>
      <w:rPr>
        <w:rFonts w:ascii="Times New Roman" w:cs="Times New Roman" w:eastAsia="Times New Roman" w:hAnsi="Times New Roman"/>
        <w:sz w:val="24"/>
        <w:szCs w:val="24"/>
      </w:rPr>
    </w:lvl>
    <w:lvl w:ilvl="1">
      <w:start w:val="1"/>
      <w:numFmt w:val="bullet"/>
      <w:lvlText w:val="o"/>
      <w:lvlJc w:val="left"/>
      <w:pPr>
        <w:ind w:left="1452" w:hanging="360"/>
      </w:pPr>
      <w:rPr>
        <w:rFonts w:ascii="Courier New" w:cs="Courier New" w:eastAsia="Courier New" w:hAnsi="Courier New"/>
      </w:rPr>
    </w:lvl>
    <w:lvl w:ilvl="2">
      <w:start w:val="1"/>
      <w:numFmt w:val="bullet"/>
      <w:lvlText w:val="▪"/>
      <w:lvlJc w:val="left"/>
      <w:pPr>
        <w:ind w:left="2172" w:hanging="360"/>
      </w:pPr>
      <w:rPr>
        <w:rFonts w:ascii="Noto Sans Symbols" w:cs="Noto Sans Symbols" w:eastAsia="Noto Sans Symbols" w:hAnsi="Noto Sans Symbols"/>
      </w:rPr>
    </w:lvl>
    <w:lvl w:ilvl="3">
      <w:start w:val="1"/>
      <w:numFmt w:val="bullet"/>
      <w:lvlText w:val="●"/>
      <w:lvlJc w:val="left"/>
      <w:pPr>
        <w:ind w:left="2892" w:hanging="360"/>
      </w:pPr>
      <w:rPr>
        <w:rFonts w:ascii="Noto Sans Symbols" w:cs="Noto Sans Symbols" w:eastAsia="Noto Sans Symbols" w:hAnsi="Noto Sans Symbols"/>
      </w:rPr>
    </w:lvl>
    <w:lvl w:ilvl="4">
      <w:start w:val="1"/>
      <w:numFmt w:val="bullet"/>
      <w:lvlText w:val="o"/>
      <w:lvlJc w:val="left"/>
      <w:pPr>
        <w:ind w:left="3612" w:hanging="360"/>
      </w:pPr>
      <w:rPr>
        <w:rFonts w:ascii="Courier New" w:cs="Courier New" w:eastAsia="Courier New" w:hAnsi="Courier New"/>
      </w:rPr>
    </w:lvl>
    <w:lvl w:ilvl="5">
      <w:start w:val="1"/>
      <w:numFmt w:val="bullet"/>
      <w:lvlText w:val="▪"/>
      <w:lvlJc w:val="left"/>
      <w:pPr>
        <w:ind w:left="4332" w:hanging="360"/>
      </w:pPr>
      <w:rPr>
        <w:rFonts w:ascii="Noto Sans Symbols" w:cs="Noto Sans Symbols" w:eastAsia="Noto Sans Symbols" w:hAnsi="Noto Sans Symbols"/>
      </w:rPr>
    </w:lvl>
    <w:lvl w:ilvl="6">
      <w:start w:val="1"/>
      <w:numFmt w:val="bullet"/>
      <w:lvlText w:val="●"/>
      <w:lvlJc w:val="left"/>
      <w:pPr>
        <w:ind w:left="5052" w:hanging="360"/>
      </w:pPr>
      <w:rPr>
        <w:rFonts w:ascii="Noto Sans Symbols" w:cs="Noto Sans Symbols" w:eastAsia="Noto Sans Symbols" w:hAnsi="Noto Sans Symbols"/>
      </w:rPr>
    </w:lvl>
    <w:lvl w:ilvl="7">
      <w:start w:val="1"/>
      <w:numFmt w:val="bullet"/>
      <w:lvlText w:val="o"/>
      <w:lvlJc w:val="left"/>
      <w:pPr>
        <w:ind w:left="5772" w:hanging="360"/>
      </w:pPr>
      <w:rPr>
        <w:rFonts w:ascii="Courier New" w:cs="Courier New" w:eastAsia="Courier New" w:hAnsi="Courier New"/>
      </w:rPr>
    </w:lvl>
    <w:lvl w:ilvl="8">
      <w:start w:val="1"/>
      <w:numFmt w:val="bullet"/>
      <w:lvlText w:val="▪"/>
      <w:lvlJc w:val="left"/>
      <w:pPr>
        <w:ind w:left="6492"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anum Gothic" w:cs="Nanum Gothic" w:eastAsia="Nanum Gothic" w:hAnsi="Nanum Gothic"/>
        <w:lang w:val="es-C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pPr>
    <w:rPr>
      <w:rFonts w:ascii="Times" w:cs="Times" w:eastAsia="Times" w:hAnsi="Times"/>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4">
    <w:name w:val="heading 4"/>
    <w:basedOn w:val="Normal"/>
    <w:next w:val="Normal"/>
    <w:link w:val="Ttulo4Car"/>
    <w:qFormat w:val="1"/>
    <w:rsid w:val="00077751"/>
    <w:pPr>
      <w:keepNext w:val="1"/>
      <w:outlineLvl w:val="3"/>
    </w:pPr>
    <w:rPr>
      <w:rFonts w:ascii="Times" w:cs="Times New Roman" w:hAnsi="Times"/>
      <w:b w:val="1"/>
      <w:lang w:eastAsia="es-ES"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tblPr>
      <w:tblStyleRowBandSize w:val="1"/>
      <w:tblStyleColBandSize w:val="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CE2D20"/>
    <w:pPr>
      <w:ind w:left="720"/>
      <w:contextualSpacing w:val="1"/>
    </w:pPr>
  </w:style>
  <w:style w:type="character" w:styleId="Ttulo4Car" w:customStyle="1">
    <w:name w:val="Título 4 Car"/>
    <w:basedOn w:val="Fuentedeprrafopredeter"/>
    <w:link w:val="Ttulo4"/>
    <w:rsid w:val="00077751"/>
    <w:rPr>
      <w:rFonts w:ascii="Times" w:cs="Times New Roman" w:hAnsi="Times"/>
      <w:b w:val="1"/>
      <w:lang w:eastAsia="es-ES" w:val="es-ES"/>
    </w:rPr>
  </w:style>
  <w:style w:type="paragraph" w:styleId="Textoindependiente">
    <w:name w:val="Body Text"/>
    <w:basedOn w:val="Normal"/>
    <w:link w:val="TextoindependienteCar"/>
    <w:rsid w:val="00077751"/>
    <w:pPr>
      <w:jc w:val="both"/>
    </w:pPr>
    <w:rPr>
      <w:rFonts w:ascii="Tahoma" w:cs="Times New Roman" w:hAnsi="Tahoma"/>
      <w:b w:val="1"/>
      <w:sz w:val="24"/>
      <w:lang w:eastAsia="es-ES" w:val="es-ES"/>
    </w:rPr>
  </w:style>
  <w:style w:type="character" w:styleId="TextoindependienteCar" w:customStyle="1">
    <w:name w:val="Texto independiente Car"/>
    <w:basedOn w:val="Fuentedeprrafopredeter"/>
    <w:link w:val="Textoindependiente"/>
    <w:rsid w:val="00077751"/>
    <w:rPr>
      <w:rFonts w:ascii="Tahoma" w:cs="Times New Roman" w:hAnsi="Tahoma"/>
      <w:b w:val="1"/>
      <w:sz w:val="24"/>
      <w:lang w:eastAsia="es-ES" w:val="es-ES"/>
    </w:rPr>
  </w:style>
  <w:style w:type="character" w:styleId="Hipervnculo">
    <w:name w:val="Hyperlink"/>
    <w:basedOn w:val="Fuentedeprrafopredeter"/>
    <w:rsid w:val="00077751"/>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ejournal.unam.mx/rms/2006-1/RMS006000102.pdf" TargetMode="External"/><Relationship Id="rId9" Type="http://schemas.openxmlformats.org/officeDocument/2006/relationships/hyperlink" Target="http://www.qualitative-research.net/fqs-texte/3-04/04-3-22b-s.ht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openlibrary.org/a/OL742527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anumGothic-regular.ttf"/><Relationship Id="rId2" Type="http://schemas.openxmlformats.org/officeDocument/2006/relationships/font" Target="fonts/NanumGothic-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E4DtlGZ9gzGz2CvnRkAx2Puupw==">AMUW2mUDWkLtvoh2RjlXYUfRjdngZc77pm97W8P0NwdYNAx7VKcqIR8u7KvBHTaF3kzI5OOmwISPitR3YlTMebWe2WKYttkeWi44pj6WVjWJZ77P5XtvJdKK/OtD2hJYzJRUZORXLaGb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2022-01-11T14:56:00Z</dcterms:created>
  <dc:creator>Rodrigo As?n</dc:creator>
</cp:coreProperties>
</file>