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VIOLENCIA CONTRA NIÑAS, NIÑOS Y ADOLESCENTES: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COMPRENSIÓN DESDE UNA PERSPECTIVA CLÍNICA INFANTO JUVENIL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6016"/>
        <w:tblGridChange w:id="0">
          <w:tblGrid>
            <w:gridCol w:w="2628"/>
            <w:gridCol w:w="601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pos="7170"/>
              </w:tabs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I. Identificación de la actividad curricular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Carrera en que se dicta: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Psicología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Profesor o equipo: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Ps. Jenniffer Miranda, Ph.D.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Ciclo al que pertenece: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Ciclo Especialización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Semestre: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Séptimo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Modalidad: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Carácter: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Optativo Área Psicología Clínica Infanto Juvenil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II. Descripción / Justificación de la actividad curricular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Este optativo se enmarca en el área de la psicología clínica infanto juvenil, tiene carácter de taller y se orienta al desarrollo de una aproximación integral a experiencias de violencia que involucran a niñas, niños y adolescentes (NNA).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Desde un enfoque comprensivo sobre la protección de los derechos de NNA, el desarrollo de psicopatología y problemas psicológicos en población infanto juvenil, se aborda el impacto que genera la violencia en el bienestar psicosocial, así como los factores que inciden en la aparición y evolución de problemas de salud mental. Se caracteriza conceptualmente el fenómeno de NNA que crecen en hogares donde existe violencia de género en la pareja (VGP) entre sus cuidadores y la co-ocurrencia de otras formas de violencia contra NNA, como la agresión sexual. Se espera que las y los participantes construyan un marco de conocimientos especializado y fundamentado en la literatura actual, respecto de problemáticas que poseen una gran relevancia social y son prioritarias en el ámbito de la salud mental infanto juvenil en nuestro país.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Los contenidos incluidos posibilitan el desarrollo de herramientas teóricas y clínicas significativas para la evaluación e intervención psicológica en las problemáticas abordadas. En este sentido, se favorece la reflexión crítica respecto de la necesidad de detectar tempranamente los problemas de salud mental asociados y visibilizar las múltiples dimensiones implicadas en su aparición y mantención. 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III. Objetivos de la actividad curricular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Que las y los participantes: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9"/>
              </w:numPr>
              <w:tabs>
                <w:tab w:val="left" w:pos="1068"/>
              </w:tabs>
              <w:ind w:left="1068" w:hanging="1068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Conceptualicen el fenómeno de la violencia contra niñas, niños y adolescentes y las consecuencias psicológicas asociadas, desde una perspectiva clínica comprensiva, con una actitud reflexiva, crítica y ética.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9"/>
              </w:numPr>
              <w:tabs>
                <w:tab w:val="left" w:pos="1068"/>
              </w:tabs>
              <w:ind w:left="1068" w:hanging="1068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Conozcan y comprendan los aspectos teóricos fundamentales que propone el enfoque de la psicopatología del desarrollo, así como su aplicación en la problemática de la violencia que afecta a niñas, niños y adolescentes.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9"/>
              </w:numPr>
              <w:tabs>
                <w:tab w:val="left" w:pos="1068"/>
              </w:tabs>
              <w:ind w:left="1068" w:hanging="1068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Identifiquen y analicen los principales factores asociados a la violencia de género en la pareja y sus consecuencias psicológicas en niñas, niños y adolescentes.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9"/>
              </w:numPr>
              <w:tabs>
                <w:tab w:val="left" w:pos="1068"/>
              </w:tabs>
              <w:ind w:left="1068" w:hanging="1068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Conozcan, analicen y reflexionen sobre las principales preguntas y dilemas éticos en el diseño metodológico de investigaciones con niñas, niños y adolescentes que han experimentado violencia.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9"/>
              </w:numPr>
              <w:tabs>
                <w:tab w:val="left" w:pos="1068"/>
              </w:tabs>
              <w:ind w:left="1068" w:hanging="1068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Comprendan y desarrollen habilidades para el diagnóstico y evaluación psicológica especializada en la temática de la violencia que involucra a niñas, niños y adolescentes.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9"/>
              </w:numPr>
              <w:tabs>
                <w:tab w:val="left" w:pos="1068"/>
              </w:tabs>
              <w:ind w:left="1068" w:hanging="1068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Identifiquen y reflexionen sobre la complejidad de los fenómenos asociados a la vulneración de derechos en la población infanto juvenil y la necesidad de diseñar investigaciones, evaluaciones e intervenciones psicológicas específicas y pertinentes.</w:t>
            </w:r>
          </w:p>
          <w:p w:rsidR="00000000" w:rsidDel="00000000" w:rsidP="00000000" w:rsidRDefault="00000000" w:rsidRPr="00000000" w14:paraId="0000002E">
            <w:pPr>
              <w:tabs>
                <w:tab w:val="left" w:pos="1068"/>
              </w:tabs>
              <w:ind w:left="1068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IV. Temáticas o contenidos de la actividad curricular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UNIDAD I: APROXIMACIÒN COMPRENSIVA AL FENOMENO DE LA VIOLENCIA CONTRA NIÑAS, NIÑOS Y ADOLESCENTES</w:t>
              <w:tab/>
              <w:t xml:space="preserve">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Conceptualizaciones sobre violencia contra NNA. Malos tratos en la infancia y el fenómeno de la agresión sexual.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Magnitud del problema a nivel internacional y nacional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Aspectos generales de la psicopatología del desarrollo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UNIDAD II: NIÑAS, NIÑOS Y ADOLESCENTES QUE EXPERIMENTAN VIOLENCIA DE GÈNERO EN LA PAREJA ENTRE SUS CUIDADORES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Conceptualizaciones sobre VGP y taxonomías.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Marco general sobre los efectos psicológicos asociados a experiencias de VGP.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Factores moderadores y mediadores de dichos efectos.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Perspectivas y voces de NNA que han experimentado VGP entre sus cuidadores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UNIDAD III: INVESTIGACIÒN Y EVALUACION PSICOLÒGICA CON NNA QUE HAN SUFRIDO VIOLENCIA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5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Consideraciones éticas en la investigación que incluye las voces de NNA que han sufrido violencia.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Conceptualizaciones de daño psicológico y trauma en NNA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5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Metodología de evaluación psicológica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Instrumentos de evaluación: técnicas psicométricas y técnicas proyectivas</w:t>
            </w:r>
          </w:p>
          <w:p w:rsidR="00000000" w:rsidDel="00000000" w:rsidP="00000000" w:rsidRDefault="00000000" w:rsidRPr="00000000" w14:paraId="00000047">
            <w:pPr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UNIDAD IV: APLICACIONES CLÍNICAS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 analizará y discutirá respecto de la relevancia e implicaciones clínicas de la evaluación e intervención con niñas, niños y adolescentes que sufren violencia. 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Según los intereses de las y los estudiantes se profundizará en diferentes problemáticas que afectan a la población infanto juvenil y que se vinculan con experiencias de violencia (p.e. abusos en la infancia: psicológicos, físicos y/o sexuales).</w:t>
            </w:r>
          </w:p>
          <w:p w:rsidR="00000000" w:rsidDel="00000000" w:rsidP="00000000" w:rsidRDefault="00000000" w:rsidRPr="00000000" w14:paraId="0000004E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V. Metodología de la actividad curricular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 utilizará una metodología de aprendizaje participativo en la cual la docente se constituye en facilitadora de los contenidos específicos, requiriendo una participación activa y protagónica de los/as alumnos/as.  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curso incluye como principales actividades: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Clases expositivo-participativas: se revisarán los aspectos teóricos fundamentales, generando instancias de discusión y análisis grupal.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Revisión bibliográfica orientada a favorecer la autonomía en la búsqueda de literatura actualizada y el análisis crítico de ésta.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Presentaciones al curso, requiriendo reflexión y discusión sobre los contenidos abordados. 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Análisis de casos clínicos.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VI. Evaluación de la actividad curricular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ind w:left="36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curso considera las siguientes actividades evaluativas: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8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Exposición grupal sobre una revisión bibliográfica (literatura internacional y nacional) respecto de una problemática específica que se asocie con la vivencia/exposición a violencia en población infanto juvenil (25%).  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7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Trabajo final: se deberá presentar en clases y entregar un trabajo escrito que integre los contenidos abordados en la revisión bibliográfica y discusión grupal desarrollada en clases (50%).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7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Trabajo en talleres: Se realizarán talleres a lo largo del semestre orientados a la lectura, análisis, exposición y discusión grupal de literatura especializada en la temática del curso. (25%)</w:t>
            </w:r>
          </w:p>
          <w:p w:rsidR="00000000" w:rsidDel="00000000" w:rsidP="00000000" w:rsidRDefault="00000000" w:rsidRPr="00000000" w14:paraId="00000067">
            <w:pPr>
              <w:ind w:left="36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VII. Bibliografía básica y obligatoria de la actividad curricular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Almonte, C., Montt, M.E. (editores) (2012).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Psicopatología Infantil y de la Adolescencia</w:t>
            </w:r>
            <w:r w:rsidDel="00000000" w:rsidR="00000000" w:rsidRPr="00000000">
              <w:rPr>
                <w:vertAlign w:val="baseline"/>
                <w:rtl w:val="0"/>
              </w:rPr>
              <w:t xml:space="preserve"> (2°edición). Santiago: Ed. Mediterraneo</w:t>
            </w: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Barudy, J. (1998).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El dolor invisible de la infancia: una lectura ecosistémica del maltrato infantil.</w:t>
            </w:r>
            <w:r w:rsidDel="00000000" w:rsidR="00000000" w:rsidRPr="00000000">
              <w:rPr>
                <w:vertAlign w:val="baseline"/>
                <w:rtl w:val="0"/>
              </w:rPr>
              <w:t xml:space="preserve"> Barcelona: Paidós.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Barudy, J. y Dantagnan, M. (2005).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Los buenos tratos a la infancia. Parentalidad, apego y resiliencia.</w:t>
            </w:r>
            <w:r w:rsidDel="00000000" w:rsidR="00000000" w:rsidRPr="00000000">
              <w:rPr>
                <w:vertAlign w:val="baseline"/>
                <w:rtl w:val="0"/>
              </w:rPr>
              <w:t xml:space="preserve"> Barcelona: Gedisa.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Callaghan, J. E. M., Alexander, J. H., Sixsmith, J., &amp; Fellin, L. C. (2015a). Beyond “Witnessing”: Children’s Experiences of Coercive Control in Domestic Violence and Abuse.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Journal of Interpersonal Violence</w:t>
            </w:r>
            <w:r w:rsidDel="00000000" w:rsidR="00000000" w:rsidRPr="00000000">
              <w:rPr>
                <w:vertAlign w:val="baseline"/>
                <w:rtl w:val="0"/>
              </w:rPr>
              <w:t xml:space="preserve">, 1–31.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Rutter, M., y Sroufe, L. (2000). Developmental psychopathology: Concepts and challenges. </w:t>
            </w:r>
            <w:r w:rsidDel="00000000" w:rsidR="00000000" w:rsidRPr="00000000">
              <w:rPr>
                <w:rFonts w:ascii="Times" w:cs="Times" w:eastAsia="Times" w:hAnsi="Times"/>
                <w:i w:val="1"/>
                <w:vertAlign w:val="baseline"/>
                <w:rtl w:val="0"/>
              </w:rPr>
              <w:t xml:space="preserve">Developmental and Psychopathology, 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, 265-296.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Ezpeleta, L. (Ed.). (2005).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Factores de riesgo en psicopatología del desarrollo. </w:t>
            </w:r>
            <w:r w:rsidDel="00000000" w:rsidR="00000000" w:rsidRPr="00000000">
              <w:rPr>
                <w:vertAlign w:val="baseline"/>
                <w:rtl w:val="0"/>
              </w:rPr>
              <w:t xml:space="preserve">Barcelona: Masson.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VII.- Bibliografía complementaria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American Psychiatric Association (1995)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Manual Diagnóstico y Estadístico de los Trastornos Mentales.</w:t>
            </w:r>
            <w:r w:rsidDel="00000000" w:rsidR="00000000" w:rsidRPr="00000000">
              <w:rPr>
                <w:vertAlign w:val="baseline"/>
                <w:rtl w:val="0"/>
              </w:rPr>
              <w:t xml:space="preserve"> Ed. Masson, S.A. Barcelona.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Cicchetti, D., y Lynch, M. (1995). Failures in the Expectable Environment and Their Impact on the Individual Development: The Case of Child Maltreatment. In D. Cicchetti &amp; D.J. Cohen (Eds.), </w:t>
            </w:r>
            <w:r w:rsidDel="00000000" w:rsidR="00000000" w:rsidRPr="00000000">
              <w:rPr>
                <w:rFonts w:ascii="Times" w:cs="Times" w:eastAsia="Times" w:hAnsi="Times"/>
                <w:i w:val="1"/>
                <w:vertAlign w:val="baseline"/>
                <w:rtl w:val="0"/>
              </w:rPr>
              <w:t xml:space="preserve">Developmental Psychopathology Vol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Times" w:cs="Times" w:eastAsia="Times" w:hAnsi="Times"/>
                <w:i w:val="1"/>
                <w:vertAlign w:val="baseline"/>
                <w:rtl w:val="0"/>
              </w:rPr>
              <w:t xml:space="preserve">Risk, Disorder, and Adaptation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(pp.32-71). New York: John Wiley &amp; Sons, Inc.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Cicchetti, D. (1993). Review. Developmental Psychopathology: Reactions, Reflections,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Projections. </w:t>
            </w:r>
            <w:r w:rsidDel="00000000" w:rsidR="00000000" w:rsidRPr="00000000">
              <w:rPr>
                <w:rFonts w:ascii="Times" w:cs="Times" w:eastAsia="Times" w:hAnsi="Times"/>
                <w:i w:val="1"/>
                <w:vertAlign w:val="baseline"/>
                <w:rtl w:val="0"/>
              </w:rPr>
              <w:t xml:space="preserve">Developmental Review, 13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, 471-502.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Echeburúa, E., y Corral, P. (2009). </w:t>
            </w:r>
            <w:r w:rsidDel="00000000" w:rsidR="00000000" w:rsidRPr="00000000">
              <w:rPr>
                <w:rFonts w:ascii="Times" w:cs="Times" w:eastAsia="Times" w:hAnsi="Times"/>
                <w:i w:val="1"/>
                <w:vertAlign w:val="baseline"/>
                <w:rtl w:val="0"/>
              </w:rPr>
              <w:t xml:space="preserve">Manual de Violencia Familiar.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ed.)</w:t>
            </w:r>
            <w:r w:rsidDel="00000000" w:rsidR="00000000" w:rsidRPr="00000000">
              <w:rPr>
                <w:rFonts w:ascii="Times" w:cs="Times" w:eastAsia="Times" w:hAnsi="Times"/>
                <w:i w:val="1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Madrid: Siglo XXI España Editores.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Echeburúa, E., Amor, P., y Fernández-Montalvo, J. (2007).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Vivir sin violência.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Madrid: Ediciones Pirámide.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Echeburúa, E., y Redondo, S. (2010). </w:t>
            </w:r>
            <w:r w:rsidDel="00000000" w:rsidR="00000000" w:rsidRPr="00000000">
              <w:rPr>
                <w:rFonts w:ascii="Times" w:cs="Times" w:eastAsia="Times" w:hAnsi="Times"/>
                <w:i w:val="1"/>
                <w:vertAlign w:val="baseline"/>
                <w:rtl w:val="0"/>
              </w:rPr>
              <w:t xml:space="preserve">¿Por qué víctima es femenino y agresor masculino?. La violencia contra la pareja y las agresiones sexuales.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Madrid: Ediciones Pirámide.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Eriksson, M., &amp; Näsman, E. (2012). Interviews with children exposed to violence. Children and Society, 26, 63–73.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Evans, S., Davies, C., y Dilillo, D. (2008). Exposure to domestic violence: A meta-analysis of child and adolescent outcomes. Aggression and Violent Behavior, 13, 131-140.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spacing w:before="120" w:lineRule="auto"/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Otra a entregar durante el desarrollo del curso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before="120" w:lineRule="auto"/>
              <w:ind w:left="36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Otra a buscar por parte de los alumnos durante el desarrollo del curso</w:t>
            </w:r>
            <w:r w:rsidDel="00000000" w:rsidR="00000000" w:rsidRPr="00000000">
              <w:rPr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C">
            <w:pPr>
              <w:spacing w:before="120" w:lineRule="auto"/>
              <w:ind w:left="360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.00000208074397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Cronograma Primer Semestre 2022</w:t>
      </w:r>
    </w:p>
    <w:p w:rsidR="00000000" w:rsidDel="00000000" w:rsidP="00000000" w:rsidRDefault="00000000" w:rsidRPr="00000000" w14:paraId="00000092">
      <w:pPr>
        <w:spacing w:line="276.00000208074397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Asignatura “Violencia Contra Niñas, Niños Y Adolescentes:</w:t>
      </w:r>
    </w:p>
    <w:p w:rsidR="00000000" w:rsidDel="00000000" w:rsidP="00000000" w:rsidRDefault="00000000" w:rsidRPr="00000000" w14:paraId="00000093">
      <w:pPr>
        <w:spacing w:line="276.00000208074397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Comprensión Desde Una Perspectiva Clínica Infanto Juvenil”</w:t>
      </w:r>
    </w:p>
    <w:p w:rsidR="00000000" w:rsidDel="00000000" w:rsidP="00000000" w:rsidRDefault="00000000" w:rsidRPr="00000000" w14:paraId="00000094">
      <w:pPr>
        <w:spacing w:line="276.00000208074397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tbl>
      <w:tblPr>
        <w:tblStyle w:val="Table2"/>
        <w:tblW w:w="8503.511811023622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854.5623497385932"/>
        <w:gridCol w:w="6648.949461285029"/>
        <w:tblGridChange w:id="0">
          <w:tblGrid>
            <w:gridCol w:w="1854.5623497385932"/>
            <w:gridCol w:w="6648.949461285029"/>
          </w:tblGrid>
        </w:tblGridChange>
      </w:tblGrid>
      <w:tr>
        <w:trPr>
          <w:cantSplit w:val="0"/>
          <w:trHeight w:val="81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1] 15 Marzo 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Presentación Programa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2]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22 Marzo 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¿Cómo entendemos la infancia y la adolescencia? 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Derechos de la Infancia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Conceptualizaciones sobre Violencia contra NNA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Aspectos generales de la psicopatología del desarrollo.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Taller 1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3] 29 de Marzo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Magnitud del problema a nivel internacional y nacional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Aproximación inicial al estado actual de la violencia contra NNA en Chile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Taller 2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4] 5 Abril 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Conceptualizaciones sobre VGP y taxonomías.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 Principales efectos psicológicos asociados a experiencias de VGP.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Taller 3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4] 12 Abril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-Factores moderadores y mediadores de los efectos psicológicos asociados a experiencias de VGP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Taller 4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5] 19 Abril 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 Perspectivas y voces de NNA que han experimentado VGP entre sus cuidadores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Taller 5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6] 26 Abril 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 Investigación que incluye Perspectivas y voces de NNA 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Taller 6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7] 3 Mayo 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 7: </w:t>
            </w:r>
            <w:r w:rsidDel="00000000" w:rsidR="00000000" w:rsidRPr="00000000">
              <w:rPr>
                <w:rtl w:val="0"/>
              </w:rPr>
              <w:t xml:space="preserve">Presentación y plenario de trabajos grupales de estudiantes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8] 10 Mayo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Style w:val="Heading1"/>
              <w:keepNext w:val="0"/>
              <w:keepLines w:val="0"/>
              <w:spacing w:line="192.0000109465226" w:lineRule="auto"/>
              <w:rPr>
                <w:b w:val="0"/>
                <w:sz w:val="24"/>
                <w:szCs w:val="24"/>
              </w:rPr>
            </w:pPr>
            <w:bookmarkStart w:colFirst="0" w:colLast="0" w:name="_heading=h.w3qaasmz1kib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Taller 7: 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Presentación y plenario de trabajos grupales de estudiantes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9] 17 Mayo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RECESO</w:t>
            </w:r>
          </w:p>
          <w:p w:rsidR="00000000" w:rsidDel="00000000" w:rsidP="00000000" w:rsidRDefault="00000000" w:rsidRPr="00000000" w14:paraId="000000B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10] 24 Mayo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Investigación Ética sobre violencia contra NNA</w:t>
            </w:r>
          </w:p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Taller 8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11] 31 Mayo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Conceptualizaciones de daño psicológico y trauma en NNA</w:t>
            </w:r>
          </w:p>
          <w:p w:rsidR="00000000" w:rsidDel="00000000" w:rsidP="00000000" w:rsidRDefault="00000000" w:rsidRPr="00000000" w14:paraId="000000B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Metodología de evaluación psicológica. Instrumentos de evaluación </w:t>
            </w:r>
          </w:p>
          <w:p w:rsidR="00000000" w:rsidDel="00000000" w:rsidP="00000000" w:rsidRDefault="00000000" w:rsidRPr="00000000" w14:paraId="000000BD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Análisis de casos (ASI y VGP)</w:t>
            </w:r>
          </w:p>
          <w:p w:rsidR="00000000" w:rsidDel="00000000" w:rsidP="00000000" w:rsidRDefault="00000000" w:rsidRPr="00000000" w14:paraId="000000BE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Taller 9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12] 7 Junio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Presentaciones de estudiantes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13] 14 Junio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Presentaciones de estudiantes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14] 21 Junio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FERIADO 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15] 28 Junio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Entrega trabajo escrito</w:t>
            </w:r>
          </w:p>
          <w:p w:rsidR="00000000" w:rsidDel="00000000" w:rsidP="00000000" w:rsidRDefault="00000000" w:rsidRPr="00000000" w14:paraId="000000C7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Taller 10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d7d3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16) 5 julio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be4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Evaluación y Cierre</w:t>
            </w:r>
          </w:p>
        </w:tc>
      </w:tr>
    </w:tbl>
    <w:p w:rsidR="00000000" w:rsidDel="00000000" w:rsidP="00000000" w:rsidRDefault="00000000" w:rsidRPr="00000000" w14:paraId="000000CA">
      <w:pPr>
        <w:spacing w:line="276.0000020807439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Horario Clases:</w:t>
      </w:r>
    </w:p>
    <w:p w:rsidR="00000000" w:rsidDel="00000000" w:rsidP="00000000" w:rsidRDefault="00000000" w:rsidRPr="00000000" w14:paraId="000000CD">
      <w:pPr>
        <w:spacing w:line="276.00000208074397" w:lineRule="auto"/>
        <w:rPr/>
      </w:pPr>
      <w:r w:rsidDel="00000000" w:rsidR="00000000" w:rsidRPr="00000000">
        <w:rPr>
          <w:rtl w:val="0"/>
        </w:rPr>
        <w:t xml:space="preserve">10.15-13.30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Times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ind w:firstLine="708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ind w:firstLine="708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Universidad de Chile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-121284</wp:posOffset>
          </wp:positionV>
          <wp:extent cx="323850" cy="6858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3850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1">
    <w:pPr>
      <w:ind w:firstLine="708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Facultad de Ciencias Sociales</w:t>
    </w:r>
  </w:p>
  <w:p w:rsidR="00000000" w:rsidDel="00000000" w:rsidP="00000000" w:rsidRDefault="00000000" w:rsidRPr="00000000" w14:paraId="000000D2">
    <w:pPr>
      <w:ind w:firstLine="708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Escuela de Ciencias Sociales</w:t>
    </w:r>
  </w:p>
  <w:p w:rsidR="00000000" w:rsidDel="00000000" w:rsidP="00000000" w:rsidRDefault="00000000" w:rsidRPr="00000000" w14:paraId="000000D3">
    <w:pPr>
      <w:ind w:firstLine="708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Carrera de Psicología</w:t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1776" w:hanging="1068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ítulo">
    <w:name w:val="Subtítulo"/>
    <w:basedOn w:val="Normal"/>
    <w:next w:val="Subtítulo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0"/>
      <w:suppressAutoHyphens w:val="1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yRN7LKRPoUmM6kUOPt2i5W6x9A==">AMUW2mVrJLUSVb98Pg6fFm0FWkcJm1OXUFPununvfxvVLsgXJ2ihzs9jqx7MGUO6hF4bxoYCOYGoZuHgbqwNkNkx4vShvkH+xllubDgHfuXN08GlLrX+qL6CJYbj4Cfc217YpJeUwz5B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2022-01-18T17:17:00Z</dcterms:created>
  <dc:creator>Vera Miranda</dc:creator>
</cp:coreProperties>
</file>