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081B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6FE7B525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271D3545" w14:textId="77777777" w:rsidR="00872478" w:rsidRPr="000E6F1D" w:rsidRDefault="00872478" w:rsidP="0087247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691500A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>PROGRAMA DE ASIGNATURA</w:t>
      </w:r>
    </w:p>
    <w:p w14:paraId="2FB85D69" w14:textId="77777777" w:rsidR="00872478" w:rsidRDefault="00872478" w:rsidP="00872478">
      <w:pPr>
        <w:jc w:val="both"/>
        <w:rPr>
          <w:rFonts w:ascii="Arial" w:hAnsi="Arial" w:cs="Arial"/>
        </w:rPr>
      </w:pPr>
    </w:p>
    <w:p w14:paraId="4EE44D73" w14:textId="7863C946" w:rsidR="00872478" w:rsidRDefault="00BE6233" w:rsidP="00872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  <w:t xml:space="preserve">: </w:t>
      </w:r>
      <w:r w:rsidR="00AF4D0C">
        <w:rPr>
          <w:rFonts w:ascii="Arial" w:hAnsi="Arial" w:cs="Arial"/>
        </w:rPr>
        <w:t>Nicolás Angelcos</w:t>
      </w:r>
      <w:r w:rsidR="003D5D4E">
        <w:rPr>
          <w:rFonts w:ascii="Arial" w:hAnsi="Arial" w:cs="Arial"/>
        </w:rPr>
        <w:t xml:space="preserve"> </w:t>
      </w:r>
    </w:p>
    <w:p w14:paraId="277C197C" w14:textId="77777777" w:rsidR="00872478" w:rsidRDefault="00872478" w:rsidP="00872478">
      <w:pPr>
        <w:jc w:val="both"/>
        <w:rPr>
          <w:rFonts w:ascii="Arial" w:hAnsi="Arial" w:cs="Arial"/>
        </w:rPr>
      </w:pPr>
    </w:p>
    <w:p w14:paraId="5EEA6251" w14:textId="1F897BEC" w:rsidR="00872478" w:rsidRPr="00D20F2C" w:rsidRDefault="00BE6233" w:rsidP="00872478">
      <w:pPr>
        <w:jc w:val="both"/>
        <w:rPr>
          <w:rFonts w:ascii="Arial" w:hAnsi="Arial" w:cs="Arial"/>
          <w:lang w:val="fr-FR"/>
        </w:rPr>
      </w:pPr>
      <w:proofErr w:type="gramStart"/>
      <w:r w:rsidRPr="00D20F2C">
        <w:rPr>
          <w:rFonts w:ascii="Arial" w:hAnsi="Arial" w:cs="Arial"/>
          <w:lang w:val="fr-FR"/>
        </w:rPr>
        <w:t>E-MAIL</w:t>
      </w:r>
      <w:proofErr w:type="gramEnd"/>
      <w:r w:rsidR="00872478" w:rsidRPr="00D20F2C">
        <w:rPr>
          <w:rFonts w:ascii="Arial" w:hAnsi="Arial" w:cs="Arial"/>
          <w:lang w:val="fr-FR"/>
        </w:rPr>
        <w:tab/>
      </w:r>
      <w:r w:rsidR="00872478" w:rsidRPr="00D20F2C">
        <w:rPr>
          <w:rFonts w:ascii="Arial" w:hAnsi="Arial" w:cs="Arial"/>
          <w:lang w:val="fr-FR"/>
        </w:rPr>
        <w:tab/>
      </w:r>
      <w:r w:rsidR="00872478" w:rsidRPr="00D20F2C">
        <w:rPr>
          <w:rFonts w:ascii="Arial" w:hAnsi="Arial" w:cs="Arial"/>
          <w:lang w:val="fr-FR"/>
        </w:rPr>
        <w:tab/>
        <w:t xml:space="preserve">: </w:t>
      </w:r>
      <w:r w:rsidR="003D5D4E" w:rsidRPr="00D20F2C">
        <w:rPr>
          <w:rFonts w:ascii="Arial" w:hAnsi="Arial" w:cs="Arial"/>
          <w:lang w:val="fr-FR"/>
        </w:rPr>
        <w:t>n</w:t>
      </w:r>
      <w:r w:rsidR="00AF4D0C" w:rsidRPr="00D20F2C">
        <w:rPr>
          <w:rFonts w:ascii="Arial" w:hAnsi="Arial" w:cs="Arial"/>
          <w:lang w:val="fr-FR"/>
        </w:rPr>
        <w:t>icolas.angelcos@uchile.cl</w:t>
      </w:r>
      <w:hyperlink r:id="rId7" w:history="1"/>
      <w:r w:rsidR="00872478" w:rsidRPr="00D20F2C">
        <w:rPr>
          <w:rFonts w:ascii="Arial" w:hAnsi="Arial" w:cs="Arial"/>
          <w:lang w:val="fr-FR"/>
        </w:rPr>
        <w:t xml:space="preserve"> </w:t>
      </w:r>
    </w:p>
    <w:p w14:paraId="17E0AE9A" w14:textId="77777777" w:rsidR="00730BC8" w:rsidRPr="00D20F2C" w:rsidRDefault="00730BC8" w:rsidP="00872478">
      <w:pPr>
        <w:jc w:val="both"/>
        <w:rPr>
          <w:rFonts w:ascii="Arial" w:hAnsi="Arial" w:cs="Arial"/>
          <w:lang w:val="fr-FR"/>
        </w:rPr>
      </w:pPr>
    </w:p>
    <w:p w14:paraId="59786216" w14:textId="4DEBFF89" w:rsidR="00872478" w:rsidRDefault="00231F00" w:rsidP="0087247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AYUDANTES</w:t>
      </w:r>
      <w:r>
        <w:rPr>
          <w:rFonts w:ascii="Arial" w:hAnsi="Arial" w:cs="Arial"/>
        </w:rPr>
        <w:tab/>
        <w:t xml:space="preserve">: </w:t>
      </w:r>
      <w:proofErr w:type="spellStart"/>
      <w:r w:rsidR="00084804">
        <w:rPr>
          <w:rFonts w:ascii="Arial" w:hAnsi="Arial" w:cs="Arial"/>
        </w:rPr>
        <w:t>Aline</w:t>
      </w:r>
      <w:proofErr w:type="spellEnd"/>
      <w:r w:rsidR="00084804">
        <w:rPr>
          <w:rFonts w:ascii="Arial" w:hAnsi="Arial" w:cs="Arial"/>
        </w:rPr>
        <w:t xml:space="preserve"> </w:t>
      </w:r>
      <w:proofErr w:type="spellStart"/>
      <w:r w:rsidR="00084804">
        <w:rPr>
          <w:rFonts w:ascii="Arial" w:hAnsi="Arial" w:cs="Arial"/>
        </w:rPr>
        <w:t>Bonnefoy</w:t>
      </w:r>
      <w:proofErr w:type="spellEnd"/>
    </w:p>
    <w:p w14:paraId="7A57CC31" w14:textId="77777777" w:rsidR="00872478" w:rsidRDefault="00872478" w:rsidP="0087247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1164"/>
        <w:gridCol w:w="184"/>
        <w:gridCol w:w="1379"/>
        <w:gridCol w:w="79"/>
        <w:gridCol w:w="5176"/>
      </w:tblGrid>
      <w:tr w:rsidR="00872478" w:rsidRPr="00A9797C" w14:paraId="09A7AC26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15416AB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872478" w:rsidRPr="00A9797C" w14:paraId="367468F7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083F417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</w:p>
          <w:p w14:paraId="6137D85E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A2F0C">
              <w:rPr>
                <w:rFonts w:ascii="Arial" w:eastAsia="Calibri" w:hAnsi="Arial" w:cs="Arial"/>
                <w:lang w:val="es-ES" w:eastAsia="en-US"/>
              </w:rPr>
              <w:t>Teoría Sociológica Clásica</w:t>
            </w:r>
          </w:p>
        </w:tc>
      </w:tr>
      <w:tr w:rsidR="00872478" w:rsidRPr="00A9797C" w14:paraId="7C2D4772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2AEB905E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 en inglés</w:t>
            </w:r>
          </w:p>
          <w:p w14:paraId="2A0E2850" w14:textId="77777777" w:rsidR="00872478" w:rsidRPr="00DA2F0C" w:rsidRDefault="00872478" w:rsidP="00730B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Classical</w:t>
            </w:r>
            <w:proofErr w:type="spellEnd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Sociological</w:t>
            </w:r>
            <w:proofErr w:type="spellEnd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Theory</w:t>
            </w:r>
            <w:proofErr w:type="spellEnd"/>
          </w:p>
        </w:tc>
      </w:tr>
      <w:tr w:rsidR="00872478" w:rsidRPr="00A9797C" w14:paraId="394E5E98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01ADE11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51C6238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872478" w:rsidRPr="00A9797C" w14:paraId="054EECB4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E8FB18F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b/>
                <w:lang w:val="es-CL" w:eastAsia="en-US"/>
              </w:rPr>
              <w:t>4. Ámbito</w:t>
            </w:r>
          </w:p>
          <w:p w14:paraId="399B613D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lang w:val="es-CL" w:eastAsia="en-US"/>
              </w:rPr>
              <w:t>Investigación social</w:t>
            </w:r>
          </w:p>
          <w:p w14:paraId="18EE3409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24FE328F" w14:textId="77777777" w:rsidTr="009B2833">
        <w:trPr>
          <w:jc w:val="center"/>
        </w:trPr>
        <w:tc>
          <w:tcPr>
            <w:tcW w:w="2010" w:type="dxa"/>
            <w:gridSpan w:val="2"/>
            <w:shd w:val="clear" w:color="auto" w:fill="FFFFFF" w:themeFill="background1"/>
            <w:hideMark/>
          </w:tcPr>
          <w:p w14:paraId="3FDB680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5. Horas de trabajo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hideMark/>
          </w:tcPr>
          <w:p w14:paraId="5F333FBE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presencial (del estudiante)</w:t>
            </w:r>
          </w:p>
          <w:p w14:paraId="4C213C61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  <w:tc>
          <w:tcPr>
            <w:tcW w:w="5255" w:type="dxa"/>
            <w:gridSpan w:val="2"/>
            <w:shd w:val="clear" w:color="auto" w:fill="FFFFFF" w:themeFill="background1"/>
            <w:hideMark/>
          </w:tcPr>
          <w:p w14:paraId="321645B5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 (del estudiante)</w:t>
            </w:r>
          </w:p>
          <w:p w14:paraId="1B7CFCE2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</w:tr>
      <w:tr w:rsidR="00872478" w:rsidRPr="00A9797C" w14:paraId="02B32845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46E6643A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7. Número de créditos SCT – Chile</w:t>
            </w:r>
          </w:p>
          <w:p w14:paraId="0F9FDB77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6</w:t>
            </w:r>
          </w:p>
        </w:tc>
      </w:tr>
      <w:tr w:rsidR="00872478" w:rsidRPr="00A9797C" w14:paraId="6880E14F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</w:tcPr>
          <w:p w14:paraId="235A73C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2D426DF3" w14:textId="2AFEF20A" w:rsidR="00622D0C" w:rsidRPr="00622D0C" w:rsidRDefault="00622D0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Miércoles y Jueves: </w:t>
            </w:r>
            <w:r w:rsidRPr="00622D0C">
              <w:rPr>
                <w:rFonts w:ascii="Arial" w:eastAsia="Calibri" w:hAnsi="Arial" w:cs="Arial"/>
                <w:lang w:val="es-CL" w:eastAsia="en-US"/>
              </w:rPr>
              <w:t>12:00 a 13:30 hrs.</w:t>
            </w:r>
          </w:p>
        </w:tc>
      </w:tr>
      <w:tr w:rsidR="00872478" w:rsidRPr="00A9797C" w14:paraId="406F02DB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</w:tcPr>
          <w:p w14:paraId="33509254" w14:textId="7EB0AE68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6DDC888A" w14:textId="7F1F0749" w:rsidR="00622D0C" w:rsidRDefault="00084804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No aplica</w:t>
            </w:r>
          </w:p>
        </w:tc>
      </w:tr>
      <w:tr w:rsidR="00872478" w:rsidRPr="00A9797C" w14:paraId="6772D099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DCD549C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  <w:p w14:paraId="4933E8B2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34348">
              <w:rPr>
                <w:rFonts w:ascii="Arial" w:eastAsia="Calibri" w:hAnsi="Arial" w:cs="Arial"/>
                <w:lang w:val="es-CL" w:eastAsia="en-US"/>
              </w:rPr>
              <w:lastRenderedPageBreak/>
              <w:t>Introducción a la Sociología</w:t>
            </w:r>
          </w:p>
        </w:tc>
      </w:tr>
      <w:tr w:rsidR="00872478" w:rsidRPr="00A9797C" w14:paraId="285C5B59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3AB978EA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  <w:p w14:paraId="78608218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El propósito general del curso es el de dar a c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onocer las tesis, argumentos y conceptos fundamentales de los fundadores de la teoría sociológica producida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aproximadamente entre 1840 y </w:t>
            </w:r>
            <w:r w:rsidRPr="005C3FA5">
              <w:rPr>
                <w:rFonts w:ascii="Arial" w:eastAsia="Calibri" w:hAnsi="Arial" w:cs="Arial"/>
                <w:bCs/>
                <w:lang w:val="es-ES" w:eastAsia="en-US"/>
              </w:rPr>
              <w:t>1930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 tanto en Europa como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en 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>Norteamérica.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</w:p>
          <w:p w14:paraId="296BD1CD" w14:textId="77777777" w:rsidR="00872478" w:rsidRPr="0021427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214276">
              <w:rPr>
                <w:rFonts w:ascii="Arial" w:eastAsia="Calibri" w:hAnsi="Arial" w:cs="Arial"/>
                <w:lang w:eastAsia="en-US"/>
              </w:rPr>
              <w:t xml:space="preserve">En concreto, se busca que las y los estudiantes logren identificar y comprender la relación entre los procesos sociales que constituyeron el foco de atención de los primeros sociólogos y las preguntas que respecto de ellos se formularon, los modos en que acometieron el desafío de comprenderlos y explicarlos, así como los esfuerzos de conceptualización a que arribaron. </w:t>
            </w:r>
          </w:p>
        </w:tc>
      </w:tr>
      <w:tr w:rsidR="00872478" w:rsidRPr="00A9797C" w14:paraId="65407D32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A292FC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Competencias a las que contribuye el curso</w:t>
            </w:r>
          </w:p>
          <w:p w14:paraId="191C072C" w14:textId="77777777" w:rsidR="00872478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>Comprender los principales procesos históricos y transformaciones institucionales que se encuentran a la base de la aparición y desarrollo de la sociedad moderna, así como la relación que con ellos guarda el surgimiento y posterior desenvolvimiento de las ciencias sociales en general, y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 de la sociología en particular.</w:t>
            </w:r>
          </w:p>
          <w:p w14:paraId="634BD6E8" w14:textId="77777777" w:rsidR="00872478" w:rsidRPr="00214276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</w:p>
          <w:p w14:paraId="6F807DC3" w14:textId="60507B26" w:rsidR="00872478" w:rsidRPr="00214276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 xml:space="preserve">Manejar un conjunto de paradigmas y enfoques teóricos, que han procurado explicar el desarrollo de nuestras sociedades, destacando sus aportes críticos y de problematización de la realidad, así como la evidencia empírica en la que se fundan, entre los que destacan 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los enfoques de 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>Marx, Durkheim, Weber,</w:t>
            </w:r>
            <w:r w:rsidRPr="005C3FA5">
              <w:rPr>
                <w:rFonts w:ascii="Arial" w:eastAsia="Calibri" w:hAnsi="Arial" w:cs="Arial"/>
                <w:bCs/>
                <w:lang w:val="es-MX" w:eastAsia="en-US"/>
              </w:rPr>
              <w:t xml:space="preserve"> Mead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 xml:space="preserve"> y Simmel.</w:t>
            </w:r>
          </w:p>
          <w:p w14:paraId="2F6588DE" w14:textId="77777777" w:rsidR="00872478" w:rsidRPr="00524E6F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5C95F780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60FCB1E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Sub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competencias</w:t>
            </w:r>
          </w:p>
          <w:p w14:paraId="56F02393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 xml:space="preserve">Comprender los principales procesos históricos relativos a la sociedad moderna, dando cuenta de las grandes transformaciones sociales, económicas, políticas y culturales asociadas a estos. </w:t>
            </w:r>
          </w:p>
          <w:p w14:paraId="5591AAF9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Relacionar el surgimiento y desarrollo de las ciencias sociales y, dentro de ellas, de la sociología, con las transformaciones sociales, económicas, políticas y culturales fundamentales de la sociedad moderna.</w:t>
            </w:r>
          </w:p>
          <w:p w14:paraId="5058F3DD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Analizar y debatir un conjunto de enfoques teóricos de la sociología, describiéndolos y comparándolos en términos históricos e institucionales, así como en sus fundamentos normativos, epistemológicos y conceptuales.</w:t>
            </w:r>
          </w:p>
          <w:p w14:paraId="7F904437" w14:textId="77777777" w:rsidR="00872478" w:rsidRPr="007B3392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 xml:space="preserve">Delimitar y conceptualizar objetos de investigación, a partir del manejo de paradigmas y enfoques teóricos, del análisis de estudios e investigaciones afines, </w:t>
            </w:r>
            <w:r w:rsidRPr="00DE04B4">
              <w:rPr>
                <w:rFonts w:ascii="Arial" w:eastAsia="Calibri" w:hAnsi="Arial" w:cs="Arial"/>
                <w:lang w:val="es-MX" w:eastAsia="en-US"/>
              </w:rPr>
              <w:lastRenderedPageBreak/>
              <w:t>así como de la observación  directa de procesos, fenómenos y/o  problemas sociales</w:t>
            </w:r>
          </w:p>
        </w:tc>
      </w:tr>
      <w:tr w:rsidR="00872478" w:rsidRPr="00A9797C" w14:paraId="01886351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044DDB8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</w:p>
          <w:p w14:paraId="6CFA84C1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espera que al finalizar este curso, el o la estudiante:</w:t>
            </w:r>
          </w:p>
          <w:p w14:paraId="61C3C0B2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Reconozca las principales tesis y argumentos de un conjunto de exponentes de la sociología clásica relativas a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la sociedad moderna en general, </w:t>
            </w:r>
            <w:r w:rsidRPr="00794641">
              <w:rPr>
                <w:rFonts w:ascii="Arial" w:eastAsia="Calibri" w:hAnsi="Arial" w:cs="Arial"/>
                <w:lang w:val="es-CL" w:eastAsia="en-US"/>
              </w:rPr>
              <w:t>teniendo en consideración los contexto históricos y las motivaciones intelectuales y prácticas de estos pensadores</w:t>
            </w:r>
          </w:p>
          <w:p w14:paraId="2DC45A23" w14:textId="77777777" w:rsidR="00872478" w:rsidRPr="00794641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0C2B2A6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Comprender las formas en que los exponentes de la sociología clásica identificaron y problematizaron temas de investigación, y de qué modos acometieron esos desafíos de interpretación de las realidades de su tiempo, </w:t>
            </w:r>
            <w:r>
              <w:rPr>
                <w:rFonts w:ascii="Arial" w:eastAsia="Calibri" w:hAnsi="Arial" w:cs="Arial"/>
                <w:lang w:val="es-CL" w:eastAsia="en-US"/>
              </w:rPr>
              <w:t>distinguiendo entre niveles tanto ‘macro’ (estructuras sociales) como ‘micro’ (la acción de individuos)</w:t>
            </w:r>
          </w:p>
          <w:p w14:paraId="284C8484" w14:textId="77777777" w:rsidR="00872478" w:rsidRPr="00794641" w:rsidRDefault="00872478" w:rsidP="00730BC8">
            <w:pPr>
              <w:contextualSpacing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A84793F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Visualice el estrecho vínculo entre una determinada concepción de orden social, por un lado, y la postura epistemológica y metodológica adoptada en cada autor, por el otro</w:t>
            </w:r>
          </w:p>
          <w:p w14:paraId="252E6FEB" w14:textId="2348463D" w:rsidR="00872478" w:rsidRPr="00D24270" w:rsidRDefault="00872478" w:rsidP="000B20EA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28C30E9B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6856BED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62E42295" w14:textId="77777777" w:rsidR="00872478" w:rsidRPr="0027604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Primera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unidad</w:t>
            </w: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: Marx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dominación de la naturaleza</w:t>
            </w:r>
          </w:p>
          <w:p w14:paraId="650FA9AF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1. Crítica a la sociedad burguesa: crítica de la ideo</w:t>
            </w:r>
            <w:r>
              <w:rPr>
                <w:rFonts w:ascii="Arial" w:eastAsia="Calibri" w:hAnsi="Arial" w:cs="Arial"/>
                <w:lang w:val="es-CL" w:eastAsia="en-US"/>
              </w:rPr>
              <w:t>logía y teoría de la alienación.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4ED8C92" w14:textId="367A8326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2. La concepción materialista de la historia: modos de producción, lucha de clases, infraestructura-s</w:t>
            </w:r>
            <w:r>
              <w:rPr>
                <w:rFonts w:ascii="Arial" w:eastAsia="Calibri" w:hAnsi="Arial" w:cs="Arial"/>
                <w:lang w:val="es-CL" w:eastAsia="en-US"/>
              </w:rPr>
              <w:t>u</w:t>
            </w:r>
            <w:r w:rsidR="002A0B2C">
              <w:rPr>
                <w:rFonts w:ascii="Arial" w:eastAsia="Calibri" w:hAnsi="Arial" w:cs="Arial"/>
                <w:lang w:val="es-CL" w:eastAsia="en-US"/>
              </w:rPr>
              <w:t>perestructura, la cuestión de la mujer.</w:t>
            </w:r>
          </w:p>
          <w:p w14:paraId="48368964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3. Teoría de la explotación y lucha de clases: mercancía, plusvalía, antagonismo de clase. </w:t>
            </w:r>
          </w:p>
          <w:p w14:paraId="6F419EB0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</w:t>
            </w: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: Durkheim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 Diferenciación social y formas de cooperación</w:t>
            </w:r>
          </w:p>
          <w:p w14:paraId="4371AC37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4.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La transición a la sociedad moderna: La función de la división del trabajo. Solidaridad </w:t>
            </w:r>
            <w:r>
              <w:rPr>
                <w:rFonts w:ascii="Arial" w:eastAsia="Calibri" w:hAnsi="Arial" w:cs="Arial"/>
                <w:lang w:val="es-CL" w:eastAsia="en-US"/>
              </w:rPr>
              <w:t>mecánica y orgánica</w:t>
            </w:r>
          </w:p>
          <w:p w14:paraId="7AE89192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5.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Religión y cohesión social: Lo sagrado. Las formas de representación simbólica </w:t>
            </w:r>
          </w:p>
          <w:p w14:paraId="472574D7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6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Las patologías sociales: Lo anormal y lo patológico. Individualismo, anomia </w:t>
            </w:r>
            <w:r>
              <w:rPr>
                <w:rFonts w:ascii="Arial" w:eastAsia="Calibri" w:hAnsi="Arial" w:cs="Arial"/>
                <w:lang w:val="es-CL" w:eastAsia="en-US"/>
              </w:rPr>
              <w:t>y disolución social</w:t>
            </w:r>
          </w:p>
          <w:p w14:paraId="03003E0A" w14:textId="77777777" w:rsidR="00872478" w:rsidRPr="00F00F9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Tercera unidad</w:t>
            </w: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: Weber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racionalización de la cultura</w:t>
            </w:r>
          </w:p>
          <w:p w14:paraId="3B58C89F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634EB5">
              <w:rPr>
                <w:rFonts w:ascii="Arial" w:eastAsia="Calibri" w:hAnsi="Arial" w:cs="Arial"/>
                <w:lang w:val="es-CL" w:eastAsia="en-US"/>
              </w:rPr>
              <w:t>La sociología comprensiva y los tipos de acción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social</w:t>
            </w:r>
          </w:p>
          <w:p w14:paraId="58153E13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8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Modernización como racionalización social: diferenciación de esferas culturales de valor, empresa capitalista y Estado, modo metódico de vida</w:t>
            </w:r>
          </w:p>
          <w:p w14:paraId="41FB463B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9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Sociología de la dominación</w:t>
            </w:r>
            <w:r>
              <w:rPr>
                <w:rFonts w:ascii="Arial" w:eastAsia="Calibri" w:hAnsi="Arial" w:cs="Arial"/>
                <w:lang w:val="es-CL" w:eastAsia="en-US"/>
              </w:rPr>
              <w:t>: dominación, legitimidad, estratificación del poder</w:t>
            </w:r>
          </w:p>
          <w:p w14:paraId="5FC20B6A" w14:textId="77777777" w:rsidR="00872478" w:rsidRPr="00A86D0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A0B2C">
              <w:rPr>
                <w:rFonts w:ascii="Arial" w:eastAsia="Calibri" w:hAnsi="Arial" w:cs="Arial"/>
                <w:b/>
                <w:lang w:val="es-CL" w:eastAsia="en-US"/>
              </w:rPr>
              <w:t>Cuarta unidad:</w:t>
            </w:r>
            <w:r w:rsidRPr="00A86D07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La persona y lo social en el proceso de consolidación de la sociedad moderna: las miradas de Simmel y Mead.</w:t>
            </w:r>
          </w:p>
          <w:p w14:paraId="323CD460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10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La persona y el “Otro” generalizado</w:t>
            </w:r>
          </w:p>
          <w:p w14:paraId="62AC2BCF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11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“yo”, el “mí” y la situación social</w:t>
            </w:r>
          </w:p>
          <w:p w14:paraId="0219823D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12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Simmel y el problema de la sociedad</w:t>
            </w:r>
          </w:p>
          <w:p w14:paraId="27A61010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13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extranjero y la metrópolis moderna</w:t>
            </w:r>
          </w:p>
        </w:tc>
      </w:tr>
      <w:tr w:rsidR="00872478" w:rsidRPr="00A9797C" w14:paraId="70D9F9BE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5E142427" w14:textId="72545E2B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16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45BBCFD3" w14:textId="5E3EFADA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curso se encuentra organizado en cuatro partes que comprenden do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 sesion</w:t>
            </w:r>
            <w:r w:rsidR="00980ECF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es semanales de cátedra, más ses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iones </w:t>
            </w: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de ayudantía, de una hora y media cada una. En la cátedra, el profesor expondrá los contenidos del curso y propondrá los términos para una discusión y análisis de las propuestas teóricas que se estudiarán.</w:t>
            </w:r>
          </w:p>
          <w:p w14:paraId="56CD0CF6" w14:textId="53178A48" w:rsidR="00872478" w:rsidRDefault="00980EC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trabajo de los ayudantes se dividirá en dos instancias:</w:t>
            </w:r>
          </w:p>
          <w:p w14:paraId="4920CB04" w14:textId="13C25AA7" w:rsidR="00980ECF" w:rsidRPr="00980ECF" w:rsidRDefault="00980ECF" w:rsidP="00980EC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A</w:t>
            </w:r>
            <w:r w:rsidRPr="00980ECF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yudantía para el apoyo en la preparación de las pruebas</w:t>
            </w:r>
          </w:p>
          <w:p w14:paraId="38CED87F" w14:textId="32D99492" w:rsidR="00980ECF" w:rsidRPr="00980ECF" w:rsidRDefault="00980ECF" w:rsidP="00980EC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Taller para el apoyo en la elaboración del ensayo final</w:t>
            </w:r>
            <w:r w:rsidR="004346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(dentro de estos talleres los estudiantes presentarán una pre-entrega del trabajo)</w:t>
            </w:r>
          </w:p>
          <w:p w14:paraId="613CB433" w14:textId="068CB4BA" w:rsidR="00980ECF" w:rsidRPr="002A0B2C" w:rsidRDefault="00980EC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</w:tc>
      </w:tr>
      <w:tr w:rsidR="00872478" w:rsidRPr="00A9797C" w14:paraId="35FB694A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754ED978" w14:textId="44A8A239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17.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6CF9BCB6" w14:textId="3A59821E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647A8B">
              <w:rPr>
                <w:rFonts w:ascii="Arial" w:eastAsia="Calibri" w:hAnsi="Arial" w:cs="Arial"/>
                <w:lang w:val="es-CL" w:eastAsia="en-US"/>
              </w:rPr>
              <w:t xml:space="preserve">El curso contará con </w:t>
            </w:r>
            <w:r w:rsidR="00084804">
              <w:rPr>
                <w:rFonts w:ascii="Arial" w:eastAsia="Calibri" w:hAnsi="Arial" w:cs="Arial"/>
                <w:lang w:val="es-CL" w:eastAsia="en-US"/>
              </w:rPr>
              <w:t>cuatro</w:t>
            </w:r>
            <w:r w:rsidRPr="007033A7">
              <w:rPr>
                <w:rFonts w:ascii="Arial" w:eastAsia="Calibri" w:hAnsi="Arial" w:cs="Arial"/>
                <w:lang w:val="es-CL" w:eastAsia="en-US"/>
              </w:rPr>
              <w:t xml:space="preserve"> evaluaciones:</w:t>
            </w:r>
          </w:p>
          <w:p w14:paraId="16E17A63" w14:textId="2FFB1DA0" w:rsidR="00084804" w:rsidRDefault="00084804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realizarán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tres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trabajos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biliográficos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en parejas, </w:t>
            </w:r>
            <w:r w:rsidR="009B2833">
              <w:rPr>
                <w:rFonts w:ascii="Arial" w:eastAsia="Calibri" w:hAnsi="Arial" w:cs="Arial"/>
                <w:lang w:val="es-CL" w:eastAsia="en-US"/>
              </w:rPr>
              <w:t>correspondientes a las tres primeras unidades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El promedio simple entre los tres corresponderá a la nota de presentación al examen</w:t>
            </w:r>
            <w:r>
              <w:rPr>
                <w:rFonts w:ascii="Arial" w:eastAsia="Calibri" w:hAnsi="Arial" w:cs="Arial"/>
                <w:lang w:val="es-CL" w:eastAsia="en-US"/>
              </w:rPr>
              <w:t>. Se entregará oportunamente una pauta para su elaboración.</w:t>
            </w:r>
          </w:p>
          <w:p w14:paraId="4FAC4A62" w14:textId="340477F5" w:rsidR="009B2833" w:rsidRDefault="009B2833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Se ofrecerá la posibilidad de entregar un ensayo analítico individual, de carácter voluntario, correspondiente a la cuarta unidad, de acuerdo al estado de avance del semestre. En caso de entregar este trabajo, la nota </w:t>
            </w: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de presentación al examen se calculará promediando las cuatro entregas. Se entregará oportunamente una pauta para su elaboración. </w:t>
            </w:r>
          </w:p>
          <w:p w14:paraId="03DE8FCC" w14:textId="1EEE0E23" w:rsidR="00084804" w:rsidRPr="00084804" w:rsidRDefault="00084804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Se realizará un examen equivalente al 40% de la nota final del curso. </w:t>
            </w:r>
          </w:p>
          <w:p w14:paraId="27A01E4C" w14:textId="77777777" w:rsidR="00872478" w:rsidRPr="007033A7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4F230FFB" w14:textId="73FEA2D2" w:rsidR="00872478" w:rsidRDefault="00872478" w:rsidP="009B2833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7033A7">
              <w:rPr>
                <w:rFonts w:ascii="Arial" w:hAnsi="Arial" w:cs="Arial"/>
                <w:bCs/>
                <w:lang w:val="es-ES"/>
              </w:rPr>
              <w:t>Los estudiantes que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por razones de fuerza mayor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no </w:t>
            </w:r>
            <w:r w:rsidR="009B2833">
              <w:rPr>
                <w:rFonts w:ascii="Arial" w:hAnsi="Arial" w:cs="Arial"/>
                <w:bCs/>
                <w:lang w:val="es-ES"/>
              </w:rPr>
              <w:t xml:space="preserve">puedan entregar el trabajo en la fecha estimada, </w:t>
            </w:r>
            <w:r w:rsidRPr="007033A7">
              <w:rPr>
                <w:rFonts w:ascii="Arial" w:hAnsi="Arial" w:cs="Arial"/>
                <w:bCs/>
                <w:lang w:val="es-ES"/>
              </w:rPr>
              <w:t>deberán justificar</w:t>
            </w:r>
            <w:r w:rsidR="009B2833">
              <w:rPr>
                <w:rFonts w:ascii="Arial" w:hAnsi="Arial" w:cs="Arial"/>
                <w:bCs/>
                <w:lang w:val="es-ES"/>
              </w:rPr>
              <w:t>lo</w:t>
            </w:r>
            <w:r w:rsidRPr="007033A7">
              <w:rPr>
                <w:rFonts w:ascii="Arial" w:hAnsi="Arial" w:cs="Arial"/>
                <w:bCs/>
                <w:lang w:val="es-ES"/>
              </w:rPr>
              <w:t>, tal como lo disponen las normas reglamentarias vigentes, en un plazo no superior a cinco días hábiles, ante la Secretaría de Estudios de la Facultad.</w:t>
            </w:r>
          </w:p>
          <w:p w14:paraId="16BFFDE9" w14:textId="29F469FC" w:rsidR="009B2833" w:rsidRPr="007033A7" w:rsidRDefault="009B2833" w:rsidP="009B2833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Para recuperar la nota adeudada, se realizará una prueba recuperativa a final de semestre de carácter individual.</w:t>
            </w:r>
          </w:p>
          <w:p w14:paraId="2FE31723" w14:textId="72D25E40" w:rsidR="00872478" w:rsidRPr="00E8283C" w:rsidRDefault="00872478" w:rsidP="00730BC8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En caso de no justificarse debidamente </w:t>
            </w:r>
            <w:r w:rsidR="009B2833">
              <w:rPr>
                <w:rFonts w:ascii="Arial" w:hAnsi="Arial" w:cs="Arial"/>
                <w:bCs/>
                <w:lang w:val="es-ES"/>
              </w:rPr>
              <w:t>la no entrega del trabajo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, </w:t>
            </w:r>
            <w:r w:rsidRPr="00794641">
              <w:rPr>
                <w:rFonts w:ascii="Arial" w:hAnsi="Arial" w:cs="Arial"/>
                <w:bCs/>
                <w:lang w:val="es-ES"/>
              </w:rPr>
              <w:t>el estudiante será calificado con nota 1.0.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</w:tr>
      <w:tr w:rsidR="00872478" w:rsidRPr="00A9797C" w14:paraId="2B3B68BF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090311F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18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55D57258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47A8B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647A8B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647A8B">
              <w:rPr>
                <w:rFonts w:ascii="Arial" w:hAnsi="Arial" w:cs="Arial"/>
                <w:bCs/>
                <w:lang w:val="es-ES"/>
              </w:rPr>
              <w:t>: 4,0</w:t>
            </w:r>
          </w:p>
          <w:p w14:paraId="78908197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5AC88613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47A8B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</w:p>
          <w:p w14:paraId="59CC696F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11F59BB2" w14:textId="0AABA173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Tendrán derecho a dar examen </w:t>
            </w:r>
            <w:r>
              <w:rPr>
                <w:rFonts w:ascii="Arial" w:hAnsi="Arial" w:cs="Arial"/>
                <w:bCs/>
                <w:lang w:val="es-ES"/>
              </w:rPr>
              <w:t xml:space="preserve">de primera oportunidad </w:t>
            </w:r>
            <w:r w:rsidRPr="00647A8B">
              <w:rPr>
                <w:rFonts w:ascii="Arial" w:hAnsi="Arial" w:cs="Arial"/>
                <w:bCs/>
                <w:lang w:val="es-ES"/>
              </w:rPr>
              <w:t>los</w:t>
            </w:r>
            <w:r>
              <w:rPr>
                <w:rFonts w:ascii="Arial" w:hAnsi="Arial" w:cs="Arial"/>
                <w:bCs/>
                <w:lang w:val="es-ES"/>
              </w:rPr>
              <w:t>/las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794641">
              <w:rPr>
                <w:rFonts w:ascii="Arial" w:hAnsi="Arial" w:cs="Arial"/>
                <w:bCs/>
                <w:lang w:val="es-ES"/>
              </w:rPr>
              <w:t>estudiantes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con nota igual o superior a </w:t>
            </w:r>
            <w:r w:rsidRPr="00AD4532">
              <w:rPr>
                <w:rFonts w:ascii="Arial" w:hAnsi="Arial" w:cs="Arial"/>
                <w:bCs/>
                <w:color w:val="FF0000"/>
                <w:lang w:val="es-ES"/>
              </w:rPr>
              <w:t>3,5</w:t>
            </w:r>
            <w:r w:rsidR="005C185C" w:rsidRPr="00AD4532">
              <w:rPr>
                <w:rFonts w:ascii="Arial" w:hAnsi="Arial" w:cs="Arial"/>
                <w:bCs/>
                <w:color w:val="FF0000"/>
                <w:lang w:val="es-ES"/>
              </w:rPr>
              <w:t>.</w:t>
            </w:r>
            <w:r w:rsidRPr="00AD4532">
              <w:rPr>
                <w:rFonts w:ascii="Arial" w:hAnsi="Arial" w:cs="Arial"/>
                <w:bCs/>
                <w:color w:val="FF0000"/>
                <w:lang w:val="es-ES"/>
              </w:rPr>
              <w:t xml:space="preserve"> </w:t>
            </w:r>
          </w:p>
          <w:p w14:paraId="1662C360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5EDE6D4" w14:textId="4135A4F1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Podrán </w:t>
            </w:r>
            <w:r w:rsidRPr="00993996">
              <w:rPr>
                <w:rFonts w:ascii="Arial" w:hAnsi="Arial" w:cs="Arial"/>
                <w:bCs/>
                <w:u w:val="single"/>
                <w:lang w:val="es-ES"/>
              </w:rPr>
              <w:t>eximirse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 xml:space="preserve">de este examen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aquellos que hayan </w:t>
            </w:r>
            <w:r>
              <w:rPr>
                <w:rFonts w:ascii="Arial" w:hAnsi="Arial" w:cs="Arial"/>
                <w:bCs/>
                <w:lang w:val="es-ES"/>
              </w:rPr>
              <w:t xml:space="preserve">obtenido una nota promedio de presentación a examen igual o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superior a </w:t>
            </w:r>
            <w:r>
              <w:rPr>
                <w:rFonts w:ascii="Arial" w:hAnsi="Arial" w:cs="Arial"/>
                <w:bCs/>
                <w:lang w:val="es-ES"/>
              </w:rPr>
              <w:t xml:space="preserve">un </w:t>
            </w:r>
            <w:r w:rsidRPr="00647A8B">
              <w:rPr>
                <w:rFonts w:ascii="Arial" w:hAnsi="Arial" w:cs="Arial"/>
                <w:bCs/>
                <w:lang w:val="es-ES"/>
              </w:rPr>
              <w:t>5,5</w:t>
            </w:r>
            <w:r w:rsidR="005C185C">
              <w:rPr>
                <w:rFonts w:ascii="Arial" w:hAnsi="Arial" w:cs="Arial"/>
                <w:bCs/>
                <w:lang w:val="es-ES"/>
              </w:rPr>
              <w:t>.</w:t>
            </w:r>
          </w:p>
          <w:p w14:paraId="72BD529E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4175E0C" w14:textId="17D835C1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Todos quienes no </w:t>
            </w:r>
            <w:r w:rsidR="005C185C">
              <w:rPr>
                <w:rFonts w:ascii="Arial" w:hAnsi="Arial" w:cs="Arial"/>
                <w:bCs/>
                <w:lang w:val="es-ES"/>
              </w:rPr>
              <w:t xml:space="preserve">obtengan como nota de presentación </w:t>
            </w:r>
            <w:r w:rsidR="005C185C" w:rsidRPr="00AD4532">
              <w:rPr>
                <w:rFonts w:ascii="Arial" w:hAnsi="Arial" w:cs="Arial"/>
                <w:bCs/>
                <w:color w:val="FF0000"/>
                <w:lang w:val="es-ES"/>
              </w:rPr>
              <w:t xml:space="preserve">3,5 </w:t>
            </w:r>
            <w:r w:rsidR="005C185C">
              <w:rPr>
                <w:rFonts w:ascii="Arial" w:hAnsi="Arial" w:cs="Arial"/>
                <w:bCs/>
                <w:lang w:val="es-ES"/>
              </w:rPr>
              <w:t>o superior</w:t>
            </w:r>
            <w:r>
              <w:rPr>
                <w:rFonts w:ascii="Arial" w:hAnsi="Arial" w:cs="Arial"/>
                <w:bCs/>
                <w:lang w:val="es-ES"/>
              </w:rPr>
              <w:t>, pasan directamente al examen de repetición.</w:t>
            </w:r>
          </w:p>
          <w:p w14:paraId="6F7FECDD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3E6E065" w14:textId="5C92ED66" w:rsidR="00872478" w:rsidRPr="002C4250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794641">
              <w:rPr>
                <w:rFonts w:ascii="Arial" w:hAnsi="Arial" w:cs="Arial"/>
                <w:bCs/>
                <w:lang w:val="es-ES"/>
              </w:rPr>
              <w:t xml:space="preserve">La fecha </w:t>
            </w:r>
            <w:r>
              <w:rPr>
                <w:rFonts w:ascii="Arial" w:hAnsi="Arial" w:cs="Arial"/>
                <w:bCs/>
                <w:lang w:val="es-ES"/>
              </w:rPr>
              <w:t>de los exámenes será dada a conocer por los profesores del curso, considerando los períodos establecidos por la universidad. En ambos exámenes, se controlará el total de la materia vista en clases y la bibliografía obligatoria. Será de carácter oral.</w:t>
            </w:r>
          </w:p>
        </w:tc>
      </w:tr>
      <w:tr w:rsidR="00872478" w:rsidRPr="00A9797C" w14:paraId="4C4F5B4F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212E2A00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030E07D6" w14:textId="77777777" w:rsidR="00872478" w:rsidRPr="00647A8B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Sociología clásica, sociedad moderna, acción social, estructura</w:t>
            </w:r>
          </w:p>
        </w:tc>
      </w:tr>
      <w:tr w:rsidR="00872478" w:rsidRPr="00A9797C" w14:paraId="3FE18AD3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</w:tcPr>
          <w:p w14:paraId="137D7BA6" w14:textId="0B76BBA8" w:rsidR="0077473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20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741E62F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PRIMERA UNIDAD: Marx y la dominación de la naturaleza </w:t>
            </w:r>
          </w:p>
          <w:p w14:paraId="4CC8D376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1. Crítica a la sociedad burguesa</w:t>
            </w:r>
          </w:p>
          <w:p w14:paraId="2EB3275E" w14:textId="237231B9" w:rsidR="00D20F2C" w:rsidRPr="00490F07" w:rsidRDefault="00D20F2C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lastRenderedPageBreak/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 w:rsidR="00A14B5A"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29FA172B" w14:textId="6F5165BC" w:rsidR="00D20F2C" w:rsidRPr="00490F07" w:rsidRDefault="00D20F2C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>&amp;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Engels,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 xml:space="preserve"> Fredrich. </w:t>
            </w:r>
            <w:r w:rsidR="00000BAE"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Madrid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000BAE"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Akal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[1845-1846]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2014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  <w:p w14:paraId="5884C478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2. La concepción materialista de la historia</w:t>
            </w:r>
          </w:p>
          <w:p w14:paraId="0CDC6E19" w14:textId="632849CF" w:rsidR="00D20F2C" w:rsidRDefault="00D20F2C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Marx,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Moscú: Editorial Progreso,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[1859]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1989. Cap.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: “Prólogo” (pp. 6-10). Disponible en: </w:t>
            </w:r>
            <w:hyperlink r:id="rId8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</w:p>
          <w:p w14:paraId="01153B2E" w14:textId="44B8E232" w:rsidR="00000BAE" w:rsidRPr="00000BAE" w:rsidRDefault="002E5A6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Kollontái, Aleksandra: </w:t>
            </w:r>
            <w:r w:rsidR="00000BAE" w:rsidRPr="00000BAE">
              <w:rPr>
                <w:rFonts w:ascii="Arial" w:eastAsia="Calibri" w:hAnsi="Arial" w:cs="Arial"/>
                <w:i/>
                <w:lang w:val="es-CL" w:eastAsia="en-US"/>
              </w:rPr>
              <w:t>Mujer y Lucha de Clases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 Barcelona: El Viejo Topo Ediciones, 2016. Cap. “Los fundamentos sociales de la cuestión femenina”</w:t>
            </w:r>
            <w:r w:rsidR="007B1EE7">
              <w:rPr>
                <w:rFonts w:ascii="Arial" w:eastAsia="Calibri" w:hAnsi="Arial" w:cs="Arial"/>
                <w:lang w:val="es-CL" w:eastAsia="en-US"/>
              </w:rPr>
              <w:t xml:space="preserve"> [1907]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 (pp. 71-98).</w:t>
            </w:r>
          </w:p>
          <w:p w14:paraId="4D8AD391" w14:textId="4FAD3D3A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>Marx, Karl &amp; Engels, Fredrich.</w:t>
            </w:r>
            <w:r w:rsidR="009E7CD0" w:rsidRPr="00000BA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.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</w:t>
            </w:r>
            <w:proofErr w:type="spellStart"/>
            <w:r w:rsidR="009E7CD0"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: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Editorial Progreso, 1970.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“Tesis sobre Feuerbach”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[1845]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“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[1848]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, parte I (pp. 30-44).</w:t>
            </w:r>
          </w:p>
          <w:p w14:paraId="390429CF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3. Teoría de la explotación y lucha de clases</w:t>
            </w:r>
          </w:p>
          <w:p w14:paraId="6722C106" w14:textId="4412B628" w:rsidR="009E7CD0" w:rsidRPr="00743E3D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>2010. Cap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I. La mercancía (pp. 49-95).</w:t>
            </w:r>
          </w:p>
          <w:p w14:paraId="7D2F2AB5" w14:textId="4A752BFD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2010. 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>o de valorización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pp. 185-205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; </w:t>
            </w:r>
            <w:r>
              <w:rPr>
                <w:rFonts w:ascii="Arial" w:eastAsia="Calibri" w:hAnsi="Arial" w:cs="Arial"/>
                <w:lang w:val="es-CL" w:eastAsia="en-US"/>
              </w:rPr>
              <w:t>VII. La Tasa de plusvalor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17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  <w:p w14:paraId="09B50BA2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UNIDAD: Durkheim. Diferenciación social y formas de cooperación</w:t>
            </w:r>
          </w:p>
          <w:p w14:paraId="018C0C23" w14:textId="77777777" w:rsidR="00872478" w:rsidRPr="00C132C9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390620">
              <w:rPr>
                <w:rFonts w:ascii="Arial" w:eastAsia="Calibri" w:hAnsi="Arial" w:cs="Arial"/>
                <w:b/>
                <w:lang w:val="es-CL" w:eastAsia="en-US"/>
              </w:rPr>
              <w:t xml:space="preserve">4. </w:t>
            </w:r>
            <w:r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  <w:p w14:paraId="034BB7F4" w14:textId="0C2576E9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Durkheim, Émile.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Libertador,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[1893]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2004</w:t>
            </w:r>
            <w:r>
              <w:rPr>
                <w:rFonts w:ascii="Arial" w:eastAsia="Calibri" w:hAnsi="Arial" w:cs="Arial"/>
                <w:lang w:val="es-CL" w:eastAsia="en-US"/>
              </w:rPr>
              <w:t>. C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aps. II y III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pp. 73-133</w:t>
            </w:r>
            <w:r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64C168AC" w14:textId="77777777" w:rsidR="00872478" w:rsidRPr="009D3CE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. Religión y cohesión social</w:t>
            </w:r>
          </w:p>
          <w:p w14:paraId="3880097E" w14:textId="237E6FE5" w:rsidR="00000BAE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Akal,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>
              <w:rPr>
                <w:rFonts w:ascii="Arial" w:eastAsia="Calibri" w:hAnsi="Arial" w:cs="Arial"/>
                <w:lang w:val="es-CL" w:eastAsia="en-US"/>
              </w:rPr>
              <w:t>1992. Cap.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“Definición del fenómeno religioso y de la religión”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(pp.21-42).</w:t>
            </w:r>
          </w:p>
          <w:p w14:paraId="57EE9406" w14:textId="5E43968B" w:rsidR="00000BAE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>Durkheim, Émile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Madrid: Ediciones Akal,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1992. “Conclusiones” (pp. 387-414).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3A856AFE" w14:textId="77777777" w:rsidR="00872478" w:rsidRPr="00B90B8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Pr="00B90B8A">
              <w:rPr>
                <w:rFonts w:ascii="Arial" w:eastAsia="Calibri" w:hAnsi="Arial" w:cs="Arial"/>
                <w:b/>
                <w:lang w:val="es-CL" w:eastAsia="en-US"/>
              </w:rPr>
              <w:t>. Las patologías sociales</w:t>
            </w:r>
          </w:p>
          <w:p w14:paraId="64B2E4E9" w14:textId="0EA9E09D" w:rsidR="009E7CD0" w:rsidRDefault="002D0CD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Durkheim, Émile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Coyoacán,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[1897]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1999.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Caps. </w:t>
            </w:r>
            <w:r>
              <w:rPr>
                <w:rFonts w:ascii="Arial" w:eastAsia="Calibri" w:hAnsi="Arial" w:cs="Arial"/>
                <w:lang w:val="es-CL" w:eastAsia="en-US"/>
              </w:rPr>
              <w:t>“Introducción” y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“El suicidio anómico” (pp. 13-25 y 206-240).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E8FD2E6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TERCERA UNIDAD: Weber y la racionalización de la cultura</w:t>
            </w:r>
          </w:p>
          <w:p w14:paraId="5E9A9459" w14:textId="77777777" w:rsidR="00872478" w:rsidRPr="00F00F9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. La sociología comprensiva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  <w:p w14:paraId="6B3A0F84" w14:textId="261A8EAD" w:rsidR="00872478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="00872478">
              <w:rPr>
                <w:rFonts w:ascii="Arial" w:eastAsia="Calibri" w:hAnsi="Arial" w:cs="Arial"/>
                <w:lang w:val="es-CL" w:eastAsia="en-US"/>
              </w:rPr>
              <w:t>“Conceptos sociológicos fundamentales”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127-187). </w:t>
            </w:r>
          </w:p>
          <w:p w14:paraId="2D723E74" w14:textId="77777777" w:rsidR="00872478" w:rsidRPr="00B8429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</w:t>
            </w: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. Modernización como racionalización social</w:t>
            </w:r>
          </w:p>
          <w:p w14:paraId="12D2B997" w14:textId="4661E910" w:rsidR="00872478" w:rsidRPr="00743E3D" w:rsidRDefault="00136BED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872478"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. Madrid: Sarpe,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[1905]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39269A57" w14:textId="77777777" w:rsidR="00872478" w:rsidRPr="00B8429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</w:t>
            </w: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. Sociología de la dominación</w:t>
            </w:r>
          </w:p>
          <w:p w14:paraId="0C0BECB5" w14:textId="6259A4C1" w:rsidR="00165653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>2014. Cap.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5D929FCC" w14:textId="196BC543" w:rsidR="00EF4069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  <w:p w14:paraId="3256D876" w14:textId="1302C500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CUARTA UNIDAD: La persona y lo social en el proceso de consolidación de la sociedad moderna: las miradas de Mead y Simmel.</w:t>
            </w:r>
          </w:p>
          <w:p w14:paraId="48BAE4AF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10. La persona y el “Otro” generalizado</w:t>
            </w:r>
          </w:p>
          <w:p w14:paraId="44E3E1CB" w14:textId="339AEF23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Parte 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pp. 167-200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755A08E0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11. El “yo”, el “mí” y la situación social</w:t>
            </w:r>
          </w:p>
          <w:p w14:paraId="42801DA7" w14:textId="5C3E223B" w:rsidR="00165653" w:rsidRPr="00443B2C" w:rsidRDefault="00165653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pp. </w:t>
            </w:r>
            <w:r>
              <w:rPr>
                <w:rFonts w:ascii="Arial" w:eastAsia="Calibri" w:hAnsi="Arial" w:cs="Arial"/>
                <w:lang w:val="es-CL" w:eastAsia="en-US"/>
              </w:rPr>
              <w:t>201-247).</w:t>
            </w:r>
          </w:p>
          <w:p w14:paraId="786E119C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12. Simmel y el problema de la sociedad</w:t>
            </w:r>
          </w:p>
          <w:p w14:paraId="2A87053E" w14:textId="0C614057" w:rsidR="00165653" w:rsidRPr="00165653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 [1908]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99-135). </w:t>
            </w:r>
          </w:p>
          <w:p w14:paraId="5CEE4416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13. El extranjero y la metrópolis moderna</w:t>
            </w:r>
          </w:p>
          <w:p w14:paraId="0FE5EFAE" w14:textId="09EDFE5C" w:rsidR="00165653" w:rsidRDefault="00165653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2014.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Cap. “Digresión sobre el extranjero”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[1900] </w:t>
            </w:r>
            <w:r>
              <w:rPr>
                <w:rFonts w:ascii="Arial" w:eastAsia="Calibri" w:hAnsi="Arial" w:cs="Arial"/>
                <w:lang w:val="es-CL" w:eastAsia="en-US"/>
              </w:rPr>
              <w:t>(pp. 653-673).</w:t>
            </w:r>
            <w:r w:rsidR="00872478"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4AA89178" w14:textId="0EF11CC2" w:rsidR="00872478" w:rsidRPr="001E5AA4" w:rsidRDefault="00872478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immel, George. 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metrópolis y la vida mental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9" w:history="1">
              <w:r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872478" w:rsidRPr="00A9797C" w14:paraId="2FA3E14D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</w:tcPr>
          <w:p w14:paraId="4A979F83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6A5B967A" w14:textId="61109AF0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Althusser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Louis.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La revolución teórica de Marx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ES" w:eastAsia="en-US"/>
              </w:rPr>
              <w:t>Ciudad de México: Siglo XXI editores,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1970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56A8ADA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Angelcos, Nicolás, “Subjetividad, cuerpo y afecto en la teoría sociológica”, en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Revista de Estudios Avanzados n°26</w:t>
            </w:r>
            <w:r>
              <w:rPr>
                <w:rFonts w:ascii="Arial" w:eastAsia="Calibri" w:hAnsi="Arial" w:cs="Arial"/>
                <w:lang w:val="es-CL" w:eastAsia="en-US"/>
              </w:rPr>
              <w:t>, 2016, pp. 76-94.</w:t>
            </w:r>
          </w:p>
          <w:p w14:paraId="33920663" w14:textId="38C7573A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Avendaño, Octavio; Canales, Manuel &amp;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Atria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Raúl.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465B64">
              <w:rPr>
                <w:rFonts w:ascii="Arial" w:eastAsia="Calibri" w:hAnsi="Arial" w:cs="Arial"/>
                <w:i/>
                <w:lang w:val="es-ES" w:eastAsia="en-US"/>
              </w:rPr>
              <w:t>Sociología. Introducción a los clásicos</w:t>
            </w:r>
            <w:r>
              <w:rPr>
                <w:rFonts w:ascii="Arial" w:eastAsia="Calibri" w:hAnsi="Arial" w:cs="Arial"/>
                <w:lang w:val="es-ES" w:eastAsia="en-US"/>
              </w:rPr>
              <w:t>. Santiago: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LOM</w:t>
            </w:r>
            <w:r>
              <w:rPr>
                <w:rFonts w:ascii="Arial" w:eastAsia="Calibri" w:hAnsi="Arial" w:cs="Arial"/>
                <w:lang w:val="es-ES" w:eastAsia="en-US"/>
              </w:rPr>
              <w:t>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2012.</w:t>
            </w:r>
          </w:p>
          <w:p w14:paraId="5C785E14" w14:textId="38F0E3D7" w:rsidR="00EC5B49" w:rsidRDefault="00EC5B49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Basaure, Mauro &amp; Montero, Darío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C5B49">
              <w:rPr>
                <w:rFonts w:ascii="Arial" w:eastAsia="Calibri" w:hAnsi="Arial" w:cs="Arial"/>
                <w:i/>
                <w:lang w:val="es-ES" w:eastAsia="en-US"/>
              </w:rPr>
              <w:t>Investigación y teoría crítica para la sociedad actual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 Barcelona: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D20F2C">
              <w:rPr>
                <w:rFonts w:ascii="Arial" w:eastAsia="Calibri" w:hAnsi="Arial" w:cs="Arial"/>
                <w:lang w:val="es-ES" w:eastAsia="en-US"/>
              </w:rPr>
              <w:t xml:space="preserve">Editorial </w:t>
            </w:r>
            <w:proofErr w:type="spellStart"/>
            <w:r w:rsidR="00D20F2C">
              <w:rPr>
                <w:rFonts w:ascii="Arial" w:eastAsia="Calibri" w:hAnsi="Arial" w:cs="Arial"/>
                <w:lang w:val="es-ES" w:eastAsia="en-US"/>
              </w:rPr>
              <w:t>Anthropos</w:t>
            </w:r>
            <w:proofErr w:type="spellEnd"/>
            <w:r w:rsidR="00D20F2C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ES" w:eastAsia="en-US"/>
              </w:rPr>
              <w:t>2018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040BC8E7" w14:textId="1D68B9F9" w:rsidR="00872478" w:rsidRPr="00D20F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20F2C">
              <w:rPr>
                <w:rFonts w:ascii="Arial" w:eastAsia="Calibri" w:hAnsi="Arial" w:cs="Arial"/>
                <w:lang w:val="es-CL" w:eastAsia="en-US"/>
              </w:rPr>
              <w:t>Bendix, Reinhard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D20F2C">
              <w:rPr>
                <w:rFonts w:ascii="Arial" w:eastAsia="Calibri" w:hAnsi="Arial" w:cs="Arial"/>
                <w:i/>
                <w:lang w:val="es-CL" w:eastAsia="en-US"/>
              </w:rPr>
              <w:t>Max Weber</w:t>
            </w:r>
            <w:r w:rsidR="00D20F2C">
              <w:rPr>
                <w:rFonts w:ascii="Arial" w:eastAsia="Calibri" w:hAnsi="Arial" w:cs="Arial"/>
                <w:i/>
                <w:lang w:val="es-CL" w:eastAsia="en-US"/>
              </w:rPr>
              <w:t xml:space="preserve">. 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Buenos Aires: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Amorrortu ed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i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>tores, 2000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19DB6220" w14:textId="030B5AC2" w:rsidR="00872478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Bottomore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Tom &amp;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Nisbet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Robert.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343855">
              <w:rPr>
                <w:rFonts w:ascii="Arial" w:eastAsia="Calibri" w:hAnsi="Arial" w:cs="Arial"/>
                <w:i/>
                <w:lang w:val="es-ES" w:eastAsia="en-US"/>
              </w:rPr>
              <w:t>Historia del análisis sociológico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. Buenos Aires: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Amorrortu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 editores,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1988.</w:t>
            </w:r>
          </w:p>
          <w:p w14:paraId="02A9A660" w14:textId="019BC33E" w:rsidR="009E7CD0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Eng</w:t>
            </w:r>
            <w:r>
              <w:rPr>
                <w:rFonts w:ascii="Arial" w:eastAsia="Calibri" w:hAnsi="Arial" w:cs="Arial"/>
                <w:lang w:val="es-ES" w:eastAsia="en-US"/>
              </w:rPr>
              <w:t>els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Friedrich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>El origen de la familia, la propiedad privada y el Estado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Moscú: Editorial Progreso,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s/f. </w:t>
            </w:r>
          </w:p>
          <w:p w14:paraId="03CA6DE3" w14:textId="267F1463" w:rsidR="007B1EE7" w:rsidRPr="00CF4731" w:rsidRDefault="007B1EE7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F</w:t>
            </w:r>
            <w:r w:rsidRPr="007B1EE7">
              <w:rPr>
                <w:rFonts w:ascii="Arial" w:eastAsia="Calibri" w:hAnsi="Arial" w:cs="Arial"/>
                <w:lang w:val="es-ES" w:eastAsia="en-US"/>
              </w:rPr>
              <w:t>romm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, Erich. </w:t>
            </w:r>
            <w:r w:rsidRPr="007B1EE7">
              <w:rPr>
                <w:rFonts w:ascii="Arial" w:eastAsia="Calibri" w:hAnsi="Arial" w:cs="Arial"/>
                <w:i/>
                <w:lang w:val="es-ES" w:eastAsia="en-US"/>
              </w:rPr>
              <w:t>Marx y su concepto del hombre</w:t>
            </w:r>
            <w:r>
              <w:rPr>
                <w:rFonts w:ascii="Arial" w:eastAsia="Calibri" w:hAnsi="Arial" w:cs="Arial"/>
                <w:lang w:val="es-ES" w:eastAsia="en-US"/>
              </w:rPr>
              <w:t>. Fondo de Cultura Económica, 1991.</w:t>
            </w:r>
          </w:p>
          <w:p w14:paraId="1050180E" w14:textId="0C5BFC4E" w:rsidR="00872478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Giddens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Anthony.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El capitalismo y la moderna teoría social</w:t>
            </w:r>
            <w:r>
              <w:rPr>
                <w:rFonts w:ascii="Arial" w:eastAsia="Calibri" w:hAnsi="Arial" w:cs="Arial"/>
                <w:lang w:val="es-ES" w:eastAsia="en-US"/>
              </w:rPr>
              <w:t>. Barcelona: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Editor Lab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or, </w:t>
            </w:r>
            <w:r w:rsidR="00872478">
              <w:rPr>
                <w:rFonts w:ascii="Arial" w:eastAsia="Calibri" w:hAnsi="Arial" w:cs="Arial"/>
                <w:lang w:val="es-ES" w:eastAsia="en-US"/>
              </w:rPr>
              <w:t>1994.</w:t>
            </w:r>
          </w:p>
          <w:p w14:paraId="455D8403" w14:textId="0EB7AF24" w:rsidR="00084804" w:rsidRPr="00084804" w:rsidRDefault="00084804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Joas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 xml:space="preserve">, Hans. </w:t>
            </w:r>
            <w:r>
              <w:rPr>
                <w:rFonts w:ascii="Arial" w:eastAsia="Calibri" w:hAnsi="Arial" w:cs="Arial"/>
                <w:i/>
                <w:iCs/>
                <w:lang w:val="es-ES" w:eastAsia="en-US"/>
              </w:rPr>
              <w:t xml:space="preserve">El pragmatismo y la teoría de la sociedad. </w:t>
            </w:r>
            <w:r>
              <w:rPr>
                <w:rFonts w:ascii="Arial" w:eastAsia="Calibri" w:hAnsi="Arial" w:cs="Arial"/>
                <w:lang w:val="es-ES" w:eastAsia="en-US"/>
              </w:rPr>
              <w:t>Madrid: Centro de Investigaciones Sociológicas, 1998.</w:t>
            </w:r>
          </w:p>
          <w:p w14:paraId="6F495BB4" w14:textId="3D57202B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lastRenderedPageBreak/>
              <w:t>Löwith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Karl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Max Weber y Karl Marx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Barcelona: </w:t>
            </w:r>
            <w:proofErr w:type="spellStart"/>
            <w:r w:rsidR="009D774A">
              <w:rPr>
                <w:rFonts w:ascii="Arial" w:eastAsia="Calibri" w:hAnsi="Arial" w:cs="Arial"/>
                <w:lang w:val="es-ES" w:eastAsia="en-US"/>
              </w:rPr>
              <w:t>Gedisa</w:t>
            </w:r>
            <w:proofErr w:type="spellEnd"/>
            <w:r w:rsidR="009D774A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ES" w:eastAsia="en-US"/>
              </w:rPr>
              <w:t>2007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6C4FEB38" w14:textId="00816411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9B5418">
              <w:rPr>
                <w:rFonts w:ascii="Arial" w:eastAsia="Calibri" w:hAnsi="Arial" w:cs="Arial"/>
                <w:lang w:val="es-CL" w:eastAsia="en-US"/>
              </w:rPr>
              <w:t>Lukes</w:t>
            </w:r>
            <w:proofErr w:type="spellEnd"/>
            <w:r w:rsidRPr="009B5418">
              <w:rPr>
                <w:rFonts w:ascii="Arial" w:eastAsia="Calibri" w:hAnsi="Arial" w:cs="Arial"/>
                <w:lang w:val="es-CL" w:eastAsia="en-US"/>
              </w:rPr>
              <w:t>, Steven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.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B5418">
              <w:rPr>
                <w:rFonts w:ascii="Arial" w:eastAsia="Calibri" w:hAnsi="Arial" w:cs="Arial"/>
                <w:i/>
                <w:lang w:val="es-CL" w:eastAsia="en-US"/>
              </w:rPr>
              <w:t xml:space="preserve">Emile Durkheim. </w:t>
            </w:r>
            <w:r w:rsidRPr="005A1251">
              <w:rPr>
                <w:rFonts w:ascii="Arial" w:eastAsia="Calibri" w:hAnsi="Arial" w:cs="Arial"/>
                <w:i/>
                <w:lang w:val="es-ES" w:eastAsia="en-US"/>
              </w:rPr>
              <w:t>Su vida y su obra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Investigaciones Sociológ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icas-Siglo XXI Editores, 1984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7C9C3F05" w14:textId="0313384D" w:rsidR="00872478" w:rsidRPr="009B541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Martuccelli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>, Danilo</w:t>
            </w:r>
            <w:r w:rsidR="009D774A" w:rsidRPr="00BD0F89">
              <w:rPr>
                <w:rFonts w:ascii="Arial" w:eastAsia="Calibri" w:hAnsi="Arial" w:cs="Arial"/>
                <w:lang w:val="es-CL" w:eastAsia="en-US"/>
              </w:rPr>
              <w:t>.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i/>
                <w:lang w:val="es-CL" w:eastAsia="en-US"/>
              </w:rPr>
              <w:t xml:space="preserve">Sociologías de la modernidad.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Itinerario del siglo XX</w:t>
            </w:r>
            <w:r w:rsidR="009D774A" w:rsidRPr="009D774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Santiago: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LOM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,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2013.</w:t>
            </w:r>
          </w:p>
          <w:p w14:paraId="112AA0D9" w14:textId="622B16BF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Mehring</w:t>
            </w:r>
            <w:proofErr w:type="spellEnd"/>
            <w:r w:rsidRPr="009D774A">
              <w:rPr>
                <w:rFonts w:ascii="Arial" w:eastAsia="Calibri" w:hAnsi="Arial" w:cs="Arial"/>
                <w:lang w:val="es-CL" w:eastAsia="en-US"/>
              </w:rPr>
              <w:t>, Franz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Marx: Historia de su vida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D774A">
              <w:rPr>
                <w:rFonts w:ascii="Arial" w:eastAsia="Calibri" w:hAnsi="Arial" w:cs="Arial"/>
                <w:lang w:val="es-CL" w:eastAsia="en-US"/>
              </w:rPr>
              <w:t xml:space="preserve">Buenos Aires, 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>Editorial Marat, 2013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2B696C64" w14:textId="64FD34B4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9D774A">
              <w:rPr>
                <w:rFonts w:ascii="Arial" w:eastAsia="Calibri" w:hAnsi="Arial" w:cs="Arial"/>
                <w:lang w:val="es-CL" w:eastAsia="en-US"/>
              </w:rPr>
              <w:t>Mommsen, Wolfgang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Max Weber, sociedad, política e historia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 Barcelona: Editorial Laia</w:t>
            </w:r>
            <w:r w:rsidR="003D0394">
              <w:rPr>
                <w:rFonts w:ascii="Arial" w:eastAsia="Calibri" w:hAnsi="Arial" w:cs="Arial"/>
                <w:lang w:val="es-CL" w:eastAsia="en-US"/>
              </w:rPr>
              <w:t>,</w:t>
            </w:r>
            <w:r w:rsidR="003D0394" w:rsidRPr="009D774A">
              <w:rPr>
                <w:rFonts w:ascii="Arial" w:eastAsia="Calibri" w:hAnsi="Arial" w:cs="Arial"/>
                <w:lang w:val="es-CL" w:eastAsia="en-US"/>
              </w:rPr>
              <w:t xml:space="preserve"> 1981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066FFDB7" w14:textId="353EE4B7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fr-FR" w:eastAsia="en-US"/>
              </w:rPr>
            </w:pPr>
            <w:proofErr w:type="spellStart"/>
            <w:r w:rsidRPr="00E01DB0">
              <w:rPr>
                <w:rFonts w:ascii="Arial" w:eastAsia="Calibri" w:hAnsi="Arial" w:cs="Arial"/>
                <w:lang w:val="es-ES" w:eastAsia="en-US"/>
              </w:rPr>
              <w:t>Nisbet</w:t>
            </w:r>
            <w:proofErr w:type="spellEnd"/>
            <w:r w:rsidRPr="00E01DB0">
              <w:rPr>
                <w:rFonts w:ascii="Arial" w:eastAsia="Calibri" w:hAnsi="Arial" w:cs="Arial"/>
                <w:lang w:val="es-ES" w:eastAsia="en-US"/>
              </w:rPr>
              <w:t>, Robert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 w:rsidRPr="00E01DB0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01DB0">
              <w:rPr>
                <w:rFonts w:ascii="Arial" w:eastAsia="Calibri" w:hAnsi="Arial" w:cs="Arial"/>
                <w:i/>
                <w:lang w:val="es-ES" w:eastAsia="en-US"/>
              </w:rPr>
              <w:t>La formación del pensamiento sociológico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9D774A" w:rsidRPr="009D774A">
              <w:rPr>
                <w:rFonts w:ascii="Arial" w:eastAsia="Calibri" w:hAnsi="Arial" w:cs="Arial"/>
                <w:lang w:val="fr-FR" w:eastAsia="en-US"/>
              </w:rPr>
              <w:t xml:space="preserve">Buenos Aires: </w:t>
            </w:r>
            <w:proofErr w:type="spellStart"/>
            <w:r w:rsidR="009D774A" w:rsidRPr="009D774A">
              <w:rPr>
                <w:rFonts w:ascii="Arial" w:eastAsia="Calibri" w:hAnsi="Arial" w:cs="Arial"/>
                <w:lang w:val="fr-FR" w:eastAsia="en-US"/>
              </w:rPr>
              <w:t>Amorrortu</w:t>
            </w:r>
            <w:proofErr w:type="spellEnd"/>
            <w:r w:rsidR="009D774A" w:rsidRPr="009D774A">
              <w:rPr>
                <w:rFonts w:ascii="Arial" w:eastAsia="Calibri" w:hAnsi="Arial" w:cs="Arial"/>
                <w:lang w:val="fr-FR" w:eastAsia="en-US"/>
              </w:rPr>
              <w:t xml:space="preserve">, </w:t>
            </w:r>
            <w:r w:rsidRPr="009D774A">
              <w:rPr>
                <w:rFonts w:ascii="Arial" w:eastAsia="Calibri" w:hAnsi="Arial" w:cs="Arial"/>
                <w:lang w:val="fr-FR" w:eastAsia="en-US"/>
              </w:rPr>
              <w:t>2009.</w:t>
            </w:r>
          </w:p>
          <w:p w14:paraId="7D9EA715" w14:textId="3DD690A3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Ramos Torres, Ramón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La sociología de Emile Durkheim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nes Sociológicas (CIS), </w:t>
            </w:r>
            <w:r>
              <w:rPr>
                <w:rFonts w:ascii="Arial" w:eastAsia="Calibri" w:hAnsi="Arial" w:cs="Arial"/>
                <w:lang w:val="es-ES" w:eastAsia="en-US"/>
              </w:rPr>
              <w:t>1999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4A7CC524" w14:textId="13C2F729" w:rsidR="00003772" w:rsidRPr="003A592D" w:rsidRDefault="00582D42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Ritzer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George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582D42">
              <w:rPr>
                <w:rFonts w:ascii="Arial" w:eastAsia="Calibri" w:hAnsi="Arial" w:cs="Arial"/>
                <w:i/>
                <w:lang w:val="es-ES" w:eastAsia="en-US"/>
              </w:rPr>
              <w:t>Teoría sociológica clásica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3A592D">
              <w:rPr>
                <w:rFonts w:ascii="Arial" w:eastAsia="Calibri" w:hAnsi="Arial" w:cs="Arial"/>
                <w:lang w:val="en-US" w:eastAsia="en-US"/>
              </w:rPr>
              <w:t xml:space="preserve">McGraw-Hill </w:t>
            </w:r>
            <w:proofErr w:type="spellStart"/>
            <w:r w:rsidRPr="003A592D">
              <w:rPr>
                <w:rFonts w:ascii="Arial" w:eastAsia="Calibri" w:hAnsi="Arial" w:cs="Arial"/>
                <w:lang w:val="en-US" w:eastAsia="en-US"/>
              </w:rPr>
              <w:t>Interamericana</w:t>
            </w:r>
            <w:proofErr w:type="spellEnd"/>
            <w:r w:rsidR="00000BAE" w:rsidRPr="003A592D">
              <w:rPr>
                <w:rFonts w:ascii="Arial" w:eastAsia="Calibri" w:hAnsi="Arial" w:cs="Arial"/>
                <w:lang w:val="en-US" w:eastAsia="en-US"/>
              </w:rPr>
              <w:t>,</w:t>
            </w:r>
            <w:r w:rsidRPr="003A592D">
              <w:rPr>
                <w:rFonts w:ascii="Arial" w:eastAsia="Calibri" w:hAnsi="Arial" w:cs="Arial"/>
                <w:lang w:val="en-US" w:eastAsia="en-US"/>
              </w:rPr>
              <w:t xml:space="preserve"> 2018</w:t>
            </w:r>
            <w:r w:rsidR="00000BAE" w:rsidRPr="003A592D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</w:tr>
      <w:tr w:rsidR="00AD4532" w:rsidRPr="00AD4532" w14:paraId="260A2ED0" w14:textId="77777777" w:rsidTr="009B2833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6743" w14:textId="77777777" w:rsidR="00AD4532" w:rsidRPr="00AD4532" w:rsidRDefault="00AD4532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AD4532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23. Programación por sesiones</w:t>
            </w:r>
          </w:p>
        </w:tc>
      </w:tr>
      <w:tr w:rsidR="00E219D6" w:rsidRPr="00AD4532" w14:paraId="189C35FD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A01DA" w14:textId="18F40397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Fecha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EEDA" w14:textId="46E2EC93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Unidad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CED3" w14:textId="16CEB1AB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Tema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4BEA" w14:textId="0410AB8A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Bibliografía obligatoria</w:t>
            </w:r>
          </w:p>
        </w:tc>
      </w:tr>
      <w:tr w:rsidR="003A592D" w:rsidRPr="00AD4532" w14:paraId="01B6F88E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36459" w14:textId="7DC56F3F" w:rsidR="003A592D" w:rsidRDefault="003A592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04/08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D8140" w14:textId="76EEAE77" w:rsidR="003A592D" w:rsidRPr="00CE6856" w:rsidRDefault="00CE685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INTRODUCCIÓN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42B4" w14:textId="3C6482A9" w:rsidR="003A592D" w:rsidRDefault="003A592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FADB0" w14:textId="77777777" w:rsidR="003A592D" w:rsidRDefault="003A592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348335AB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E48" w14:textId="2E2395F3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05/08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6FC3" w14:textId="76124F3F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PRIMERA UNIDAD: Marx y la dominación de la naturaleza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4C35" w14:textId="7594A1EB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Crítica a la sociedad burguesa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6F46" w14:textId="77777777" w:rsidR="00CE6856" w:rsidRPr="00490F07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247841DB" w14:textId="7DB7B19C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>Madrid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[1845-1846] 2014.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</w:tc>
      </w:tr>
      <w:tr w:rsidR="00CE6856" w:rsidRPr="00AD4532" w14:paraId="14F5066A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836AC" w14:textId="263C6711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11/08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64E48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0C47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DDC1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39477FAC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6E573" w14:textId="764ABE34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12/08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D35FC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C9C9" w14:textId="192F4506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La concepción materialist</w:t>
            </w: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a de la historia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A8A2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>Marx, 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Moscú: Editorial Progreso, [1859] 1989. Cap.: “Prólogo” (pp. 6-10). Disponible en: </w:t>
            </w:r>
            <w:hyperlink r:id="rId10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</w:p>
          <w:p w14:paraId="1A8D2433" w14:textId="77777777" w:rsidR="00CE6856" w:rsidRPr="00000BAE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Kollontái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Aleksandra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: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Mujer y Lucha de Clases</w:t>
            </w:r>
            <w:r>
              <w:rPr>
                <w:rFonts w:ascii="Arial" w:eastAsia="Calibri" w:hAnsi="Arial" w:cs="Arial"/>
                <w:lang w:val="es-CL" w:eastAsia="en-US"/>
              </w:rPr>
              <w:t>. Barcelona: El Viejo Topo Ediciones, 2016. Cap. “Los fundamentos sociales de la cuestión femenina” [1907] (pp. 71-98).</w:t>
            </w:r>
          </w:p>
          <w:p w14:paraId="2A55D134" w14:textId="33B267BC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000BAE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. </w:t>
            </w:r>
            <w:proofErr w:type="spellStart"/>
            <w:r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: Editorial Progreso, 1970. </w:t>
            </w:r>
            <w:r>
              <w:rPr>
                <w:rFonts w:ascii="Arial" w:eastAsia="Calibri" w:hAnsi="Arial" w:cs="Arial"/>
                <w:lang w:val="es-CL" w:eastAsia="en-US"/>
              </w:rPr>
              <w:t>“Tesis sobre Feuerbach” [1845], “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>
              <w:rPr>
                <w:rFonts w:ascii="Arial" w:eastAsia="Calibri" w:hAnsi="Arial" w:cs="Arial"/>
                <w:lang w:val="es-CL" w:eastAsia="en-US"/>
              </w:rPr>
              <w:t>” [1848], parte I (pp. 30-44).</w:t>
            </w:r>
          </w:p>
        </w:tc>
      </w:tr>
      <w:tr w:rsidR="00CE6856" w:rsidRPr="00AD4532" w14:paraId="48469F6C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9AE60" w14:textId="2C6FD896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18/08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89B8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2073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B5FD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71B9B074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C491" w14:textId="59D4CA88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19/08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EC2D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8424" w14:textId="2697CD45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Teoría de la explotación y lucha de clases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9A66" w14:textId="77777777" w:rsidR="00CE6856" w:rsidRPr="00743E3D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Santiago: LOM, [1867] 2010. Cap. I. La mercancía (pp. 49-95).</w:t>
            </w:r>
          </w:p>
          <w:p w14:paraId="38FA346B" w14:textId="33F1F5B9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[1867] 2010.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o de valorización (pp. 185-205); VII. La Tasa de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plusvalor</w:t>
            </w:r>
            <w:proofErr w:type="spellEnd"/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>
              <w:rPr>
                <w:rFonts w:ascii="Arial" w:eastAsia="Calibri" w:hAnsi="Arial" w:cs="Arial"/>
                <w:lang w:val="es-CL" w:eastAsia="en-US"/>
              </w:rPr>
              <w:t>17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</w:tc>
      </w:tr>
      <w:tr w:rsidR="00CE6856" w:rsidRPr="00AD4532" w14:paraId="7AF3177A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C8A9" w14:textId="536AADA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25/08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FB9A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EE55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ECE0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4881543E" w14:textId="77777777" w:rsidTr="00CE685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EC6D0" w14:textId="3E94CF3D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26/08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8DFF17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FF3EA" w14:textId="4256345D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D3AAF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41C6F947" w14:textId="77777777" w:rsidTr="00C510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8137E" w14:textId="6DDF1C64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01/09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7F7D9" w14:textId="781CD0E2" w:rsidR="00DB0D61" w:rsidRPr="00DF1093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SEGUNDA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Durkheim.  Diferenciación social y formas de cooperación</w:t>
            </w:r>
          </w:p>
          <w:p w14:paraId="2E60C35C" w14:textId="29BBE2D3" w:rsidR="00DB0D61" w:rsidRP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CL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35A31" w14:textId="37143850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12071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Ediciones Libertador, [1893] 2004. Caps. II y III (pp. 73-133).</w:t>
            </w:r>
          </w:p>
          <w:p w14:paraId="3A17E55D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421737EA" w14:textId="77777777" w:rsidTr="00C510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668A" w14:textId="2351223D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02/09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8C89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5136D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70428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1E05092B" w14:textId="77777777" w:rsidTr="00C510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D4AB" w14:textId="7A9B4603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08/09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9292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947A" w14:textId="3386C182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Religión y cohesión social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CE86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>, [1912] 1992. Cap. “Definición del fenómeno religioso y de la religión” (pp.21-42).</w:t>
            </w:r>
          </w:p>
          <w:p w14:paraId="67C8D0F4" w14:textId="7E0DC796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Akal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>, [1912] 1992. “Conclusiones” (pp. 387-414).</w:t>
            </w:r>
          </w:p>
        </w:tc>
      </w:tr>
      <w:tr w:rsidR="00DB0D61" w:rsidRPr="00AD4532" w14:paraId="41DEE170" w14:textId="77777777" w:rsidTr="009B54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DC4B6A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09/09</w:t>
            </w:r>
          </w:p>
          <w:p w14:paraId="5067CDD3" w14:textId="262F0100" w:rsidR="009B5418" w:rsidRDefault="009B541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(Entrega primer trabajo)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F0E5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17B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DFAF" w14:textId="77777777" w:rsidR="00DB0D61" w:rsidRDefault="00DB0D6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2C6A32DD" w14:textId="77777777" w:rsidTr="00396A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6C83" w14:textId="3E4C29EA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15/09</w:t>
            </w:r>
          </w:p>
        </w:tc>
        <w:tc>
          <w:tcPr>
            <w:tcW w:w="7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0F043E9" w14:textId="473BF8A4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VACACIONES FIESTAS PATRIAS</w:t>
            </w:r>
          </w:p>
        </w:tc>
      </w:tr>
      <w:tr w:rsidR="00CE6856" w:rsidRPr="00AD4532" w14:paraId="08B9A207" w14:textId="77777777" w:rsidTr="00396A7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B35E3" w14:textId="71F5E828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16/09</w:t>
            </w:r>
          </w:p>
        </w:tc>
        <w:tc>
          <w:tcPr>
            <w:tcW w:w="7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D07A108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34AF564F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7D10" w14:textId="1FF7607C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22/09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E99AB" w14:textId="2910EC23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SEGUNDA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Durkheim.  Diferenciación social y formas de cooperación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FA35" w14:textId="0203808D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Las patologías sociales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88DE" w14:textId="5B67414A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Émile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Coyoacán, [1897] 1999. Caps. “Introducción” y “El suicidio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anómico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” (pp. 13-25 y 206-240). </w:t>
            </w:r>
          </w:p>
        </w:tc>
      </w:tr>
      <w:tr w:rsidR="00DB0D61" w:rsidRPr="00AD4532" w14:paraId="0A2009B8" w14:textId="77777777" w:rsidTr="00DB0D6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B5829" w14:textId="7E2FFA70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23/09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212F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F0B37" w14:textId="64567E76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E0343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22B8AEC7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CF92" w14:textId="1CB3BE1A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29/09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B37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TERCERA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Weber y la racionalización de la cultura</w:t>
            </w:r>
          </w:p>
          <w:p w14:paraId="74BF040E" w14:textId="3FC1D384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CL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7C34" w14:textId="42AD399A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La sociología comprensiva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CB8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“Conceptos sociológicos fundamentales” (pp. 127-187). </w:t>
            </w:r>
          </w:p>
          <w:p w14:paraId="56A8BF1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18B58FE1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2C2F" w14:textId="58F8A821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30/09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C4A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D9370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E0152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260C29D4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F9D56" w14:textId="6334D84B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06/10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93C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1C14" w14:textId="38DA1272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Modernización como racionalización social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07CD" w14:textId="2102761C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Madrid: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Sarpe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[1905]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</w:tc>
      </w:tr>
      <w:tr w:rsidR="00DB0D61" w:rsidRPr="00AD4532" w14:paraId="17F1A39D" w14:textId="77777777" w:rsidTr="009B54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158D1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07/10</w:t>
            </w:r>
          </w:p>
          <w:p w14:paraId="3F71A967" w14:textId="1489D585" w:rsidR="009B5418" w:rsidRDefault="009B541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(Entrega segundo trabajo)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A2A6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85FB1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FBA5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506486A6" w14:textId="77777777" w:rsidTr="0034139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346B" w14:textId="1131BBA0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13/10</w:t>
            </w:r>
          </w:p>
        </w:tc>
        <w:tc>
          <w:tcPr>
            <w:tcW w:w="7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4F905E9" w14:textId="5EC5F193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PRIMERA SEMANA DE RECESO</w:t>
            </w:r>
          </w:p>
        </w:tc>
      </w:tr>
      <w:tr w:rsidR="00DB0D61" w:rsidRPr="00AD4532" w14:paraId="726A237F" w14:textId="77777777" w:rsidTr="0034139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F7372" w14:textId="2C53BD74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14/10</w:t>
            </w:r>
          </w:p>
        </w:tc>
        <w:tc>
          <w:tcPr>
            <w:tcW w:w="7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5A12736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0342C3FA" w14:textId="77777777" w:rsidTr="00800C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12E3F" w14:textId="0CC81F70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20/10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1A20" w14:textId="33B5900D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TERCERA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Weber y la racionalización de la cultura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2567" w14:textId="2D512370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Sociología de la dominación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9478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[1921-1922] 2014. Cap.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59AAA9D9" w14:textId="70CA80C0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</w:tc>
      </w:tr>
      <w:tr w:rsidR="00DB0D61" w:rsidRPr="00AD4532" w14:paraId="112E2097" w14:textId="77777777" w:rsidTr="00800C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A08B" w14:textId="6AA8AF33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21/10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BB9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7EB3F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A3B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55A955D8" w14:textId="77777777" w:rsidTr="00DB0D6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9179D" w14:textId="57CBA5AB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27/10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BE130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AD1B9" w14:textId="21CCF6A9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C4D2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61070840" w14:textId="77777777" w:rsidTr="00AB7F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0FEE8" w14:textId="1B3486DA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28/10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D9A3" w14:textId="73418272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CUARTA UNIDAD: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La persona y lo social en el proceso de consolidación de la sociedad moderna: las miradas de Mead y </w:t>
            </w:r>
            <w:proofErr w:type="spellStart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Simmel</w:t>
            </w:r>
            <w:proofErr w:type="spellEnd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D292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La persona y el “Otro” generalizado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/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El “yo”, el “mí” y la situación social</w:t>
            </w:r>
          </w:p>
          <w:p w14:paraId="48ACF40B" w14:textId="0235804B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37DA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Editorial Paidós, [1934] 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pp. 167-200</w:t>
            </w:r>
            <w:r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2E1B1BD2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762E62F2" w14:textId="77777777" w:rsidTr="00AB7F3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53471" w14:textId="5339D62C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03/11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9AF6F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C341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7B02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4573C915" w14:textId="77777777" w:rsidTr="009B54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3CC4B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04/11</w:t>
            </w:r>
          </w:p>
          <w:p w14:paraId="7006547E" w14:textId="2A297057" w:rsidR="009B5418" w:rsidRDefault="009B541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(Entrega tercer trabajo)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4CBA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4539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C8AC0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45029BD7" w14:textId="77777777" w:rsidTr="001F3B9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1A9F" w14:textId="0193740E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10/11</w:t>
            </w:r>
          </w:p>
        </w:tc>
        <w:tc>
          <w:tcPr>
            <w:tcW w:w="7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8E99B96" w14:textId="66F9AB86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SEGUNDA SEMANA DE RECESO</w:t>
            </w:r>
          </w:p>
        </w:tc>
      </w:tr>
      <w:tr w:rsidR="00DB0D61" w:rsidRPr="00AD4532" w14:paraId="007A381B" w14:textId="77777777" w:rsidTr="001F3B9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8A9AB" w14:textId="14A2F09D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11/11</w:t>
            </w:r>
          </w:p>
        </w:tc>
        <w:tc>
          <w:tcPr>
            <w:tcW w:w="7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C92A2BE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5F718FA0" w14:textId="77777777" w:rsidTr="00AE4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78CD3" w14:textId="2B9378A8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17/11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5398" w14:textId="5C49ABA1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CUARTA UNIDAD: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La persona y lo social en el proceso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 xml:space="preserve">de consolidación de la sociedad moderna: las miradas de Mead y </w:t>
            </w:r>
            <w:proofErr w:type="spellStart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Simmel</w:t>
            </w:r>
            <w:proofErr w:type="spellEnd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C182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proofErr w:type="spellStart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Simmel</w:t>
            </w:r>
            <w:proofErr w:type="spellEnd"/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 xml:space="preserve"> y el problema de la sociedad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</w:p>
          <w:p w14:paraId="67BDB8FF" w14:textId="382C6B7D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El extranjero y la metrópolis moderna.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8011C" w14:textId="7823013B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lastRenderedPageBreak/>
              <w:t>Simmel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[1908] (pp. 99-135).</w:t>
            </w:r>
          </w:p>
          <w:p w14:paraId="17B06023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lastRenderedPageBreak/>
              <w:t>Simmel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2014.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Cap. “Digresión sobre el extranjero” [1900] (pp. 653-673).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746EF31D" w14:textId="0DE2D0D1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proofErr w:type="spellStart"/>
            <w:r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>
              <w:rPr>
                <w:rFonts w:ascii="Arial" w:eastAsia="Calibri" w:hAnsi="Arial" w:cs="Arial"/>
                <w:lang w:val="es-CL" w:eastAsia="en-US"/>
              </w:rPr>
              <w:t>immel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George. 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metrópolis y la vida mental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11" w:history="1">
              <w:r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DB0D61" w:rsidRPr="00AD4532" w14:paraId="6EA3818E" w14:textId="77777777" w:rsidTr="00AE4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8DD14" w14:textId="3D49B631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18/11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646D3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B81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F17F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0A9C3A3F" w14:textId="77777777" w:rsidTr="009B541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0504A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24/11</w:t>
            </w:r>
          </w:p>
          <w:p w14:paraId="0B6477BB" w14:textId="3ADEA26A" w:rsidR="009B5418" w:rsidRDefault="009B541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(Entrega 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cuarto trabajo)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1EEB7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BBA5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E88A0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554D1CDA" w14:textId="77777777" w:rsidTr="00DB0D6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0B7B0" w14:textId="23E5AB63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25/11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3CCE7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89E52" w14:textId="0F0BB5E9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E98E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238B00F1" w14:textId="77777777" w:rsidTr="00BA40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2603" w14:textId="5BAD30D6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29/11- 10/12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E5F92AF" w14:textId="3175529D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PERÍODO DE EXÁMENES</w:t>
            </w:r>
          </w:p>
        </w:tc>
      </w:tr>
      <w:tr w:rsidR="00DB0D61" w:rsidRPr="00AD4532" w14:paraId="180E367B" w14:textId="77777777" w:rsidTr="00466B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8894" w14:textId="5C031848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20-24/12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5577AC8" w14:textId="1AF01ED6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EXÁMENES DE REPETICIÓN</w:t>
            </w:r>
          </w:p>
        </w:tc>
      </w:tr>
    </w:tbl>
    <w:p w14:paraId="537C8534" w14:textId="77777777" w:rsidR="00872478" w:rsidRPr="00AC64BE" w:rsidRDefault="00872478" w:rsidP="00872478">
      <w:pPr>
        <w:jc w:val="both"/>
      </w:pPr>
    </w:p>
    <w:p w14:paraId="393AA9FE" w14:textId="77777777" w:rsidR="00782F5E" w:rsidRDefault="00782F5E"/>
    <w:sectPr w:rsidR="00782F5E" w:rsidSect="00730BC8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274D" w14:textId="77777777" w:rsidR="009B5685" w:rsidRDefault="009B5685">
      <w:r>
        <w:separator/>
      </w:r>
    </w:p>
  </w:endnote>
  <w:endnote w:type="continuationSeparator" w:id="0">
    <w:p w14:paraId="338C0F80" w14:textId="77777777" w:rsidR="009B5685" w:rsidRDefault="009B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A3F5" w14:textId="77777777" w:rsidR="00443B2C" w:rsidRDefault="00443B2C" w:rsidP="00730B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349FC1" w14:textId="77777777" w:rsidR="00443B2C" w:rsidRDefault="00443B2C" w:rsidP="00730B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A209" w14:textId="77777777" w:rsidR="00443B2C" w:rsidRPr="00EF79FB" w:rsidRDefault="00443B2C" w:rsidP="00730BC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402DBF">
      <w:rPr>
        <w:rStyle w:val="Nmerodepgina"/>
        <w:rFonts w:ascii="Arial" w:hAnsi="Arial" w:cs="Arial"/>
        <w:b/>
        <w:noProof/>
      </w:rPr>
      <w:t>6</w:t>
    </w:r>
    <w:r w:rsidRPr="00EF79FB">
      <w:rPr>
        <w:rStyle w:val="Nmerodepgina"/>
        <w:rFonts w:ascii="Arial" w:hAnsi="Arial" w:cs="Arial"/>
        <w:b/>
      </w:rPr>
      <w:fldChar w:fldCharType="end"/>
    </w:r>
  </w:p>
  <w:p w14:paraId="30E52636" w14:textId="77777777" w:rsidR="00443B2C" w:rsidRDefault="00443B2C" w:rsidP="00730BC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66AD2" w14:textId="77777777" w:rsidR="009B5685" w:rsidRDefault="009B5685">
      <w:r>
        <w:separator/>
      </w:r>
    </w:p>
  </w:footnote>
  <w:footnote w:type="continuationSeparator" w:id="0">
    <w:p w14:paraId="5D9A116B" w14:textId="77777777" w:rsidR="009B5685" w:rsidRDefault="009B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496C" w14:textId="77777777" w:rsidR="00443B2C" w:rsidRDefault="00443B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86224DC" wp14:editId="382CBBA7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1E3"/>
    <w:multiLevelType w:val="hybridMultilevel"/>
    <w:tmpl w:val="9FB08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AFC"/>
    <w:multiLevelType w:val="hybridMultilevel"/>
    <w:tmpl w:val="87AA2C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0A77"/>
    <w:multiLevelType w:val="hybridMultilevel"/>
    <w:tmpl w:val="667E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01843"/>
    <w:multiLevelType w:val="hybridMultilevel"/>
    <w:tmpl w:val="F98AA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5"/>
  <w:doNotDisplayPageBoundaries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78"/>
    <w:rsid w:val="00000BAE"/>
    <w:rsid w:val="00003772"/>
    <w:rsid w:val="00084804"/>
    <w:rsid w:val="000B20EA"/>
    <w:rsid w:val="000C5376"/>
    <w:rsid w:val="00117B4B"/>
    <w:rsid w:val="00127AB4"/>
    <w:rsid w:val="00136BED"/>
    <w:rsid w:val="00165653"/>
    <w:rsid w:val="00177A10"/>
    <w:rsid w:val="0019045C"/>
    <w:rsid w:val="001E5AA4"/>
    <w:rsid w:val="00217861"/>
    <w:rsid w:val="00231F00"/>
    <w:rsid w:val="00234018"/>
    <w:rsid w:val="00282D7F"/>
    <w:rsid w:val="00296613"/>
    <w:rsid w:val="002A0B2C"/>
    <w:rsid w:val="002D0CDE"/>
    <w:rsid w:val="002E4E86"/>
    <w:rsid w:val="002E5A6F"/>
    <w:rsid w:val="002F297C"/>
    <w:rsid w:val="0032113A"/>
    <w:rsid w:val="00336369"/>
    <w:rsid w:val="003A38D2"/>
    <w:rsid w:val="003A592D"/>
    <w:rsid w:val="003D0392"/>
    <w:rsid w:val="003D0394"/>
    <w:rsid w:val="003D5D4E"/>
    <w:rsid w:val="00402DBF"/>
    <w:rsid w:val="0043462C"/>
    <w:rsid w:val="00443B2C"/>
    <w:rsid w:val="004552D9"/>
    <w:rsid w:val="004618CE"/>
    <w:rsid w:val="00473D5A"/>
    <w:rsid w:val="0047785A"/>
    <w:rsid w:val="00582D42"/>
    <w:rsid w:val="005C185C"/>
    <w:rsid w:val="005C3FA5"/>
    <w:rsid w:val="00622D0C"/>
    <w:rsid w:val="0062567D"/>
    <w:rsid w:val="006D06E8"/>
    <w:rsid w:val="00730952"/>
    <w:rsid w:val="00730BC8"/>
    <w:rsid w:val="00774736"/>
    <w:rsid w:val="00782F5E"/>
    <w:rsid w:val="007B1EE7"/>
    <w:rsid w:val="008045ED"/>
    <w:rsid w:val="008128D9"/>
    <w:rsid w:val="00872478"/>
    <w:rsid w:val="00884F63"/>
    <w:rsid w:val="008A6D6B"/>
    <w:rsid w:val="008F4EE4"/>
    <w:rsid w:val="00926C0F"/>
    <w:rsid w:val="0096083C"/>
    <w:rsid w:val="00961A2B"/>
    <w:rsid w:val="00975D9D"/>
    <w:rsid w:val="00980ECF"/>
    <w:rsid w:val="009B2833"/>
    <w:rsid w:val="009B5418"/>
    <w:rsid w:val="009B5685"/>
    <w:rsid w:val="009C02C8"/>
    <w:rsid w:val="009D774A"/>
    <w:rsid w:val="009E7CD0"/>
    <w:rsid w:val="00A13544"/>
    <w:rsid w:val="00A14B5A"/>
    <w:rsid w:val="00A32A25"/>
    <w:rsid w:val="00AB535A"/>
    <w:rsid w:val="00AC0C17"/>
    <w:rsid w:val="00AD4532"/>
    <w:rsid w:val="00AE2FA7"/>
    <w:rsid w:val="00AE64E6"/>
    <w:rsid w:val="00AF4D0C"/>
    <w:rsid w:val="00B10627"/>
    <w:rsid w:val="00B22FED"/>
    <w:rsid w:val="00B80BAF"/>
    <w:rsid w:val="00B85FAC"/>
    <w:rsid w:val="00BD0F89"/>
    <w:rsid w:val="00BD7B9E"/>
    <w:rsid w:val="00BE3542"/>
    <w:rsid w:val="00BE6233"/>
    <w:rsid w:val="00BF511B"/>
    <w:rsid w:val="00CE6856"/>
    <w:rsid w:val="00CE6970"/>
    <w:rsid w:val="00CF3462"/>
    <w:rsid w:val="00D20F2C"/>
    <w:rsid w:val="00D87563"/>
    <w:rsid w:val="00D94E4C"/>
    <w:rsid w:val="00DB0D61"/>
    <w:rsid w:val="00DB3FEA"/>
    <w:rsid w:val="00E02D29"/>
    <w:rsid w:val="00E219D6"/>
    <w:rsid w:val="00E26224"/>
    <w:rsid w:val="00E709E9"/>
    <w:rsid w:val="00E70CEE"/>
    <w:rsid w:val="00E754F7"/>
    <w:rsid w:val="00EC47E6"/>
    <w:rsid w:val="00EC5B49"/>
    <w:rsid w:val="00EE021D"/>
    <w:rsid w:val="00EF4069"/>
    <w:rsid w:val="00F44962"/>
    <w:rsid w:val="00F846DC"/>
    <w:rsid w:val="00F94571"/>
    <w:rsid w:val="00FD736F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E736D"/>
  <w14:defaultImageDpi w14:val="300"/>
  <w15:docId w15:val="{A9C7A8C1-4AF1-4563-9F21-325F472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78"/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478"/>
    <w:rPr>
      <w:rFonts w:ascii="Cambria" w:eastAsia="Times New Roman" w:hAnsi="Cambria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872478"/>
  </w:style>
  <w:style w:type="paragraph" w:styleId="Encabezado">
    <w:name w:val="header"/>
    <w:basedOn w:val="Normal"/>
    <w:link w:val="Encabezado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478"/>
    <w:rPr>
      <w:rFonts w:ascii="Cambria" w:eastAsia="Times New Roman" w:hAnsi="Cambria" w:cs="Times New Roman"/>
    </w:rPr>
  </w:style>
  <w:style w:type="paragraph" w:styleId="Prrafodelista">
    <w:name w:val="List Paragraph"/>
    <w:basedOn w:val="Normal"/>
    <w:uiPriority w:val="34"/>
    <w:qFormat/>
    <w:rsid w:val="008724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47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E7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CD0"/>
    <w:rPr>
      <w:rFonts w:ascii="Cambria" w:eastAsia="Times New Roman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D0C"/>
    <w:rPr>
      <w:rFonts w:ascii="Segoe UI" w:eastAsia="Times New Roman" w:hAnsi="Segoe UI" w:cs="Segoe UI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185C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185C"/>
    <w:rPr>
      <w:rFonts w:ascii="Lucida Grande" w:eastAsia="Times New Roman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ahu.edu.co/biblioteca/imagenes/libros/Contribucion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rio.montero@uchile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furcaciones.cl/004/bifurcaciones_004_reserv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pahu.edu.co/biblioteca/imagenes/libros/Contribuc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furcaciones.cl/004/bifurcaciones_004_reserva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3141</Words>
  <Characters>15928</Characters>
  <Application>Microsoft Office Word</Application>
  <DocSecurity>0</DocSecurity>
  <Lines>248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Montero</dc:creator>
  <cp:keywords/>
  <dc:description/>
  <cp:lastModifiedBy>nicolÃ¡s salvador gregorio angelcos (nicolas.angelcos)</cp:lastModifiedBy>
  <cp:revision>3</cp:revision>
  <dcterms:created xsi:type="dcterms:W3CDTF">2021-07-06T16:56:00Z</dcterms:created>
  <dcterms:modified xsi:type="dcterms:W3CDTF">2021-07-06T17:04:00Z</dcterms:modified>
</cp:coreProperties>
</file>