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72EB2" w:rsidRDefault="00F537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FACULTAD DE CIENCIAS SOCIALES</w:t>
      </w:r>
    </w:p>
    <w:p w14:paraId="00000002" w14:textId="77777777" w:rsidR="00772EB2" w:rsidRDefault="00F537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CARRERA SOCIOLOGÍA</w:t>
      </w:r>
    </w:p>
    <w:p w14:paraId="00000003" w14:textId="77777777" w:rsidR="00772EB2" w:rsidRDefault="00772EB2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0000004" w14:textId="77777777" w:rsidR="00772EB2" w:rsidRDefault="00F53700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PROGRAMA DE ASIGNATURA</w:t>
      </w:r>
    </w:p>
    <w:p w14:paraId="00000005" w14:textId="77777777" w:rsidR="00772EB2" w:rsidRDefault="00772EB2">
      <w:pPr>
        <w:rPr>
          <w:rFonts w:ascii="Arial" w:eastAsia="Arial" w:hAnsi="Arial" w:cs="Arial"/>
        </w:rPr>
      </w:pPr>
    </w:p>
    <w:p w14:paraId="00000006" w14:textId="77777777" w:rsidR="00772EB2" w:rsidRDefault="00772EB2">
      <w:pPr>
        <w:rPr>
          <w:rFonts w:ascii="Arial" w:eastAsia="Arial" w:hAnsi="Arial" w:cs="Arial"/>
        </w:rPr>
      </w:pPr>
    </w:p>
    <w:p w14:paraId="00000007" w14:textId="77777777" w:rsidR="00772EB2" w:rsidRDefault="00F53700">
      <w:pPr>
        <w:tabs>
          <w:tab w:val="left" w:pos="2977"/>
        </w:tabs>
        <w:ind w:left="-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PROFESORAS-OR </w:t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  <w:t>Klaudio Duarte</w:t>
      </w:r>
    </w:p>
    <w:p w14:paraId="00000008" w14:textId="77777777" w:rsidR="00772EB2" w:rsidRDefault="00F53700">
      <w:pPr>
        <w:ind w:left="35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claudioduarte@uchile.cl</w:t>
      </w:r>
    </w:p>
    <w:p w14:paraId="00000009" w14:textId="77777777" w:rsidR="00772EB2" w:rsidRDefault="00F53700">
      <w:pPr>
        <w:tabs>
          <w:tab w:val="left" w:pos="2977"/>
        </w:tabs>
      </w:pP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Marcela Ferrer</w:t>
      </w:r>
    </w:p>
    <w:p w14:paraId="0000000A" w14:textId="77777777" w:rsidR="00772EB2" w:rsidRDefault="00F53700"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hyperlink r:id="rId8">
        <w:r>
          <w:rPr>
            <w:rFonts w:ascii="Arial" w:eastAsia="Arial" w:hAnsi="Arial" w:cs="Arial"/>
            <w:color w:val="0000FF"/>
            <w:u w:val="single"/>
          </w:rPr>
          <w:t>mferrer@uchile.cl</w:t>
        </w:r>
      </w:hyperlink>
      <w:r>
        <w:rPr>
          <w:rFonts w:ascii="Arial" w:eastAsia="Arial" w:hAnsi="Arial" w:cs="Arial"/>
        </w:rPr>
        <w:t xml:space="preserve"> </w:t>
      </w:r>
    </w:p>
    <w:p w14:paraId="0000000B" w14:textId="77777777" w:rsidR="00772EB2" w:rsidRDefault="00F53700">
      <w:pPr>
        <w:tabs>
          <w:tab w:val="left" w:pos="2977"/>
        </w:tabs>
      </w:pP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 xml:space="preserve">Andrea </w:t>
      </w:r>
      <w:proofErr w:type="spellStart"/>
      <w:r>
        <w:rPr>
          <w:rFonts w:ascii="Arial" w:eastAsia="Arial" w:hAnsi="Arial" w:cs="Arial"/>
        </w:rPr>
        <w:t>Greibe</w:t>
      </w:r>
      <w:proofErr w:type="spellEnd"/>
    </w:p>
    <w:p w14:paraId="0000000C" w14:textId="77777777" w:rsidR="00772EB2" w:rsidRDefault="00F53700"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hyperlink r:id="rId9">
        <w:r>
          <w:rPr>
            <w:rFonts w:ascii="Arial" w:eastAsia="Arial" w:hAnsi="Arial" w:cs="Arial"/>
            <w:color w:val="0000FF"/>
            <w:u w:val="single"/>
          </w:rPr>
          <w:t>agreibe@uchile.cl</w:t>
        </w:r>
      </w:hyperlink>
    </w:p>
    <w:p w14:paraId="0000000D" w14:textId="77777777" w:rsidR="00772EB2" w:rsidRDefault="00772EB2">
      <w:pPr>
        <w:rPr>
          <w:rFonts w:ascii="Arial" w:eastAsia="Arial" w:hAnsi="Arial" w:cs="Arial"/>
        </w:rPr>
      </w:pPr>
    </w:p>
    <w:tbl>
      <w:tblPr>
        <w:tblStyle w:val="a"/>
        <w:tblW w:w="905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4420"/>
        <w:gridCol w:w="2317"/>
        <w:gridCol w:w="2317"/>
      </w:tblGrid>
      <w:tr w:rsidR="00772EB2" w14:paraId="2FC53CC2" w14:textId="77777777" w:rsidTr="00193A91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8" w:type="dxa"/>
            </w:tcMar>
          </w:tcPr>
          <w:p w14:paraId="0000000E" w14:textId="77777777" w:rsidR="00772EB2" w:rsidRDefault="00F5370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</w:t>
            </w:r>
          </w:p>
        </w:tc>
      </w:tr>
      <w:tr w:rsidR="00772EB2" w14:paraId="3CB8ACA1" w14:textId="77777777" w:rsidTr="00193A91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11" w14:textId="77777777" w:rsidR="00772EB2" w:rsidRDefault="00F53700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 de la actividad curricular</w:t>
            </w:r>
          </w:p>
          <w:p w14:paraId="00000012" w14:textId="77777777" w:rsidR="00772EB2" w:rsidRDefault="00F53700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Diseños de Investigación Social</w:t>
            </w:r>
          </w:p>
        </w:tc>
      </w:tr>
      <w:tr w:rsidR="00772EB2" w14:paraId="13C36147" w14:textId="77777777" w:rsidTr="00193A91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15" w14:textId="77777777" w:rsidR="00772EB2" w:rsidRDefault="00F53700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 de la actividad curricular en inglés</w:t>
            </w:r>
          </w:p>
          <w:p w14:paraId="00000016" w14:textId="77777777" w:rsidR="00772EB2" w:rsidRDefault="00F53700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Social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Designs</w:t>
            </w:r>
            <w:proofErr w:type="spellEnd"/>
          </w:p>
        </w:tc>
      </w:tr>
      <w:tr w:rsidR="00772EB2" w14:paraId="49778A87" w14:textId="77777777" w:rsidTr="00193A91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19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 Unidad Académica / organismo de la unidad académica que lo desarrolla</w:t>
            </w:r>
          </w:p>
          <w:p w14:paraId="0000001A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Departamento de Sociología </w:t>
            </w:r>
          </w:p>
        </w:tc>
      </w:tr>
      <w:tr w:rsidR="00772EB2" w14:paraId="0A0A3D8E" w14:textId="77777777" w:rsidTr="00193A91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1D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i/>
                <w:color w:val="53535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4. Ámbito </w:t>
            </w:r>
          </w:p>
          <w:p w14:paraId="0000001E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Investigación</w:t>
            </w:r>
          </w:p>
        </w:tc>
      </w:tr>
      <w:tr w:rsidR="00772EB2" w14:paraId="45E82243" w14:textId="77777777" w:rsidTr="00193A91">
        <w:trPr>
          <w:jc w:val="center"/>
        </w:trPr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21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5. Horas de trabajo 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22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presencial (del estudiante)</w:t>
            </w:r>
          </w:p>
          <w:p w14:paraId="00000023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24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presencial (del estudiante)</w:t>
            </w:r>
          </w:p>
          <w:p w14:paraId="00000025" w14:textId="77777777" w:rsidR="00772EB2" w:rsidRDefault="00F53700">
            <w:pPr>
              <w:spacing w:after="200" w:line="276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 w:rsidR="00772EB2" w14:paraId="75774E96" w14:textId="77777777" w:rsidTr="00193A91">
        <w:trPr>
          <w:jc w:val="center"/>
        </w:trPr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26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 Tipo de créditos</w:t>
            </w:r>
          </w:p>
          <w:p w14:paraId="00000027" w14:textId="77777777" w:rsidR="00772EB2" w:rsidRDefault="00F53700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SCT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28" w14:textId="77777777" w:rsidR="00772EB2" w:rsidRDefault="00772EB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29" w14:textId="77777777" w:rsidR="00772EB2" w:rsidRDefault="00772EB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72EB2" w14:paraId="7D0EC00F" w14:textId="77777777" w:rsidTr="00193A91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2A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7. Número de créditos SCT – Chile</w:t>
            </w:r>
          </w:p>
          <w:p w14:paraId="0000002B" w14:textId="77777777" w:rsidR="00772EB2" w:rsidRDefault="00F53700">
            <w:pPr>
              <w:spacing w:after="200" w:line="276" w:lineRule="auto"/>
              <w:jc w:val="center"/>
            </w:pP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6</w:t>
            </w:r>
          </w:p>
        </w:tc>
      </w:tr>
      <w:tr w:rsidR="00772EB2" w14:paraId="39EAEB1F" w14:textId="77777777" w:rsidTr="00193A91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2E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8. Horarios</w:t>
            </w:r>
          </w:p>
          <w:p w14:paraId="0000002F" w14:textId="77777777" w:rsidR="00772EB2" w:rsidRDefault="00F53700">
            <w:pPr>
              <w:spacing w:after="200" w:line="276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Lunes: 10:15 a 13:30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hrs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772EB2" w14:paraId="044ADEDB" w14:textId="77777777" w:rsidTr="00193A91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32" w14:textId="77777777" w:rsidR="00772EB2" w:rsidRDefault="00F53700">
            <w:pPr>
              <w:spacing w:after="200" w:line="276" w:lineRule="auto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9. Salas</w:t>
            </w:r>
          </w:p>
          <w:p w14:paraId="00000033" w14:textId="77777777" w:rsidR="00772EB2" w:rsidRDefault="00F53700">
            <w:pPr>
              <w:spacing w:after="200" w:line="276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APLICA</w:t>
            </w:r>
          </w:p>
        </w:tc>
      </w:tr>
      <w:tr w:rsidR="00772EB2" w14:paraId="47541BD3" w14:textId="77777777" w:rsidTr="00193A91">
        <w:trPr>
          <w:jc w:val="center"/>
        </w:trPr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36" w14:textId="77777777" w:rsidR="00772EB2" w:rsidRDefault="00F53700">
            <w:pPr>
              <w:spacing w:after="20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10. Requisitos</w:t>
            </w:r>
          </w:p>
        </w:tc>
        <w:tc>
          <w:tcPr>
            <w:tcW w:w="4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37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Introducción a la sociología</w:t>
            </w:r>
          </w:p>
        </w:tc>
      </w:tr>
      <w:tr w:rsidR="00772EB2" w14:paraId="00BC4433" w14:textId="77777777" w:rsidTr="00193A91">
        <w:trPr>
          <w:jc w:val="center"/>
        </w:trPr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39" w14:textId="77777777" w:rsidR="00772EB2" w:rsidRDefault="00F53700">
            <w:pPr>
              <w:spacing w:after="20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11. Propósito general del curso</w:t>
            </w:r>
          </w:p>
        </w:tc>
        <w:tc>
          <w:tcPr>
            <w:tcW w:w="4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3A" w14:textId="77777777" w:rsidR="00772EB2" w:rsidRDefault="00F53700">
            <w:pPr>
              <w:spacing w:after="200" w:line="276" w:lineRule="auto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Este curso introduce a los estudiantes en la lógica de la investigación social. Esto implica el conocimiento de los conceptos, componentes y procesos básicos involucrados en la investigación, incluyendo preguntas de investigación, revisión de literatura,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eoría, conceptos, métodos de producción y análisis de información, formas de comunicación de resultados. También incluye el desarrollo de habilidades fundamentales requeridas para elaborar un diseño de investigación social.</w:t>
            </w:r>
          </w:p>
        </w:tc>
      </w:tr>
      <w:tr w:rsidR="00772EB2" w14:paraId="51910423" w14:textId="77777777" w:rsidTr="00193A91">
        <w:trPr>
          <w:jc w:val="center"/>
        </w:trPr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3C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12. Competencias a las que cont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ribuye el curso</w:t>
            </w:r>
          </w:p>
        </w:tc>
        <w:tc>
          <w:tcPr>
            <w:tcW w:w="4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0000003D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1.4  Diseñar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y desarrollar estrategias de investigación social.</w:t>
            </w:r>
          </w:p>
          <w:p w14:paraId="0000003E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1.5 Comunicar los saberes disciplinares de manera pertinente a las características de distintos contextos y audiencias, utilizando diversas estrategias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  formatos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000003F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2.4. Evalua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 y dar seguimiento a iniciativas de intervención social y/o política, en diferentes organizaciones y niveles de operación</w:t>
            </w:r>
          </w:p>
        </w:tc>
      </w:tr>
      <w:tr w:rsidR="00772EB2" w14:paraId="4358819E" w14:textId="77777777" w:rsidTr="00193A91">
        <w:trPr>
          <w:jc w:val="center"/>
        </w:trPr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41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13. Sub competencias</w:t>
            </w:r>
          </w:p>
        </w:tc>
        <w:tc>
          <w:tcPr>
            <w:tcW w:w="4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00000042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1.4.1 Delimitar y conceptualizar objetos de investigación, a partir del manejo de paradigmas y enfoques teóricos, del análisis de estudios e investigaciones afines, así como de la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observación  directa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 procesos, fenómenos y/o problemas sociales</w:t>
            </w:r>
          </w:p>
          <w:p w14:paraId="00000043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1.4.2 Dis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eñar y aplicar diversas técnicas de recolección y producción de información empírica, pertinentes al objeto de estudio.</w:t>
            </w:r>
          </w:p>
          <w:p w14:paraId="00000044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1.5.1 Diseñar estrategias para comunicar los saberes disciplinares considerando las características de distintos contextos y audiencias.</w:t>
            </w:r>
          </w:p>
          <w:p w14:paraId="00000045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1.5.2 Comunicar en forma oral y escrita los saberes disciplinares considerando distintos contextos y audiencias, haciendo un uso creativo de distintas estrategias</w:t>
            </w:r>
          </w:p>
          <w:p w14:paraId="00000046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2.4.1 Dar seguimiento a iniciativas de intervención social o política.</w:t>
            </w:r>
          </w:p>
          <w:p w14:paraId="00000047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2.4.2 Diseñar e imple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mentar sistemas de evaluación de intervenciones social y/o política.</w:t>
            </w:r>
          </w:p>
        </w:tc>
      </w:tr>
      <w:tr w:rsidR="00772EB2" w14:paraId="3571539B" w14:textId="77777777" w:rsidTr="00193A91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00049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14. Resultados de Aprendizaje</w:t>
            </w:r>
          </w:p>
          <w:p w14:paraId="0000004A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Identificar los componentes básicos de un diseño de investigación social.</w:t>
            </w:r>
          </w:p>
          <w:p w14:paraId="0000004B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Elaborar, a nivel inicial, los componentes básicos de un diseño de investigación 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ocial, apreciando su valor y sus limitaciones.</w:t>
            </w:r>
          </w:p>
          <w:p w14:paraId="0000004C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Analizar críticamente la aproximación metodológica usada en investigaciones previas de diferente tipo, construyendo un juicio fundado sobre la credibilidad de sus hallazgos.</w:t>
            </w:r>
          </w:p>
          <w:p w14:paraId="0000004D" w14:textId="77777777" w:rsidR="00772EB2" w:rsidRDefault="00F53700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Evaluar y contrastar las fortalezas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y debilidades de diferentes diseños en relación a la pregunta de investigación, principalmente en términos de su rigor y relevancia.</w:t>
            </w:r>
          </w:p>
        </w:tc>
      </w:tr>
      <w:tr w:rsidR="00772EB2" w14:paraId="57A1268B" w14:textId="77777777" w:rsidTr="00193A91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00000050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15. Saberes / contenidos</w:t>
            </w:r>
          </w:p>
          <w:p w14:paraId="00000051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>I. Introducción</w:t>
            </w:r>
          </w:p>
          <w:p w14:paraId="00000052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 La lógica de la investigación social</w:t>
            </w:r>
          </w:p>
          <w:p w14:paraId="00000053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 Visión general de los elementos de la investigación social y su diseño</w:t>
            </w:r>
          </w:p>
          <w:p w14:paraId="00000054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>II. Componentes del diseño</w:t>
            </w:r>
          </w:p>
          <w:p w14:paraId="00000055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A. La construcción del objeto y el abordaje teórico</w:t>
            </w:r>
          </w:p>
          <w:p w14:paraId="00000056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 Preguntas/Objetivos/Hipótesis</w:t>
            </w:r>
          </w:p>
          <w:p w14:paraId="00000057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 Revisión de la literatura</w:t>
            </w:r>
          </w:p>
          <w:p w14:paraId="00000058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 Volver sobre la pregunta de investigación</w:t>
            </w:r>
          </w:p>
          <w:p w14:paraId="00000059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 Conceptos y teorías</w:t>
            </w:r>
          </w:p>
          <w:p w14:paraId="0000005A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B. El diseño metodológico:</w:t>
            </w:r>
          </w:p>
          <w:p w14:paraId="0000005B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 Aproximación general al diseño metodológico</w:t>
            </w:r>
          </w:p>
          <w:p w14:paraId="0000005C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2. El enfoque cuantitativo </w:t>
            </w:r>
          </w:p>
          <w:p w14:paraId="0000005D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 El enfoque cualitativo</w:t>
            </w:r>
          </w:p>
          <w:p w14:paraId="0000005E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 Métodos mixtos</w:t>
            </w:r>
          </w:p>
        </w:tc>
      </w:tr>
      <w:tr w:rsidR="00772EB2" w14:paraId="5C50760A" w14:textId="77777777" w:rsidTr="00193A91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00000061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16. Metodología</w:t>
            </w:r>
          </w:p>
          <w:p w14:paraId="00000062" w14:textId="77777777" w:rsidR="00772EB2" w:rsidRDefault="00F53700">
            <w:pPr>
              <w:spacing w:after="200" w:line="276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El curso tendrá una modalidad virtual en la que se desarrollarán estrategias de trabajo mixtas, combinando actividades sincrónicas, con trabajo individual y grupal fuera del horario de clases. </w:t>
            </w:r>
          </w:p>
          <w:p w14:paraId="00000063" w14:textId="77777777" w:rsidR="00772EB2" w:rsidRDefault="00F53700">
            <w:pPr>
              <w:spacing w:after="200" w:line="276" w:lineRule="auto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La primera parte de cada sesión será expositiva. En ella se pr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esentarán aspectos centrales referidos a la investigación social sus fundamentos y características, y se discutirán los textos correspondientes a la bibliografía obligatoria. </w:t>
            </w:r>
          </w:p>
          <w:p w14:paraId="00000064" w14:textId="77777777" w:rsidR="00772EB2" w:rsidRDefault="00F53700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 los talleres –segunda parte de cada sesión- se trabajará en ejercicios de rec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onocimiento, análisis y producción de componentes básicos de un diseño de investigación social. Combinarán tanto trabajo individual como grupal.  Algunos talleres (según calendario detallado más adelante), tendrán tareas asociadas cuyo cumplimiento es impr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escindible para el buen desarrollo de estos y el logro de los objetivos del curso.</w:t>
            </w:r>
          </w:p>
          <w:p w14:paraId="00000065" w14:textId="77777777" w:rsidR="00772EB2" w:rsidRDefault="00F53700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 curso requiere por tanto el trabajo fuera de aula de los estudiantes, desarrollando actividades de lectura, escritura, trabajo grupal, observación e indagación de acuerdo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las indicaciones realizadas en cada clase.</w:t>
            </w:r>
          </w:p>
        </w:tc>
      </w:tr>
      <w:tr w:rsidR="00772EB2" w14:paraId="15CD4BC8" w14:textId="77777777" w:rsidTr="00193A91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00000068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17. Evaluación</w:t>
            </w:r>
          </w:p>
          <w:p w14:paraId="00000069" w14:textId="77777777" w:rsidR="00772EB2" w:rsidRDefault="00F537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Fichas de lectura (3) correspondientes a parte de la bibliografía obligatoria (25%):</w:t>
            </w:r>
          </w:p>
          <w:p w14:paraId="0000006A" w14:textId="77777777" w:rsidR="00772EB2" w:rsidRDefault="0077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00006B" w14:textId="77777777" w:rsidR="00772EB2" w:rsidRDefault="00F537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Portafolio individual de trabajos de taller (25%):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Corresponde a la participación en los talleres semanales y a los productos generados en cada uno de ellos. En el caso que un/a estudiante no pueda participar en un taller se entregarán indicaciones para la realización de una actividad equivalente.</w:t>
            </w:r>
          </w:p>
          <w:p w14:paraId="0000006C" w14:textId="77777777" w:rsidR="00772EB2" w:rsidRDefault="0077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00006D" w14:textId="77777777" w:rsidR="00772EB2" w:rsidRDefault="00F537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Talleres específicos evaluados (50%):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Durante el semestre habrá 3 actividades de taller que serán evaluadas con nota (independiente al portafolio).</w:t>
            </w:r>
          </w:p>
          <w:p w14:paraId="0000006E" w14:textId="77777777" w:rsidR="00772EB2" w:rsidRDefault="0077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</w:pPr>
          </w:p>
          <w:p w14:paraId="0000006F" w14:textId="77777777" w:rsidR="00772EB2" w:rsidRDefault="00772EB2">
            <w:pPr>
              <w:ind w:left="212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72EB2" w14:paraId="7FE0EB94" w14:textId="77777777" w:rsidTr="00193A91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00000072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18. Requisitos de aprobación</w:t>
            </w:r>
          </w:p>
          <w:p w14:paraId="00000073" w14:textId="77777777" w:rsidR="00772EB2" w:rsidRDefault="00F53700">
            <w:pPr>
              <w:spacing w:after="200" w:line="276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Para aprobar la asignatura es necesario cumplir con los siguientes requisitos:</w:t>
            </w:r>
          </w:p>
          <w:p w14:paraId="00000074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NOTA DE APROBACIÓN MÍNIMA (Escala de 1.0 a 7.0): 4.0</w:t>
            </w:r>
          </w:p>
          <w:p w14:paraId="00000075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REQUISITOS PARA PRESENTACIÓN A EXAMEN: </w:t>
            </w:r>
          </w:p>
          <w:p w14:paraId="00000076" w14:textId="77777777" w:rsidR="00772EB2" w:rsidRDefault="00F53700">
            <w:pPr>
              <w:spacing w:after="200" w:line="276" w:lineRule="auto"/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Primera Oportunidad: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nota igual o superior a 3.5 habiendo rendido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todas las evaluaci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ones parciales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podrán eximirse quienes tengan una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nota de presentación 4,0 o superior y hayan participado en los talleres o actividades equivalentes.</w:t>
            </w:r>
          </w:p>
          <w:p w14:paraId="00000077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Segunda oportunidad: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nota inferior a 3.5 o haber reprobado el curso luego de rendir el examen de primera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oportunidad.</w:t>
            </w:r>
          </w:p>
          <w:p w14:paraId="00000078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OTROS REQUISITOS: todos aquellos estipulados en el Reglamento de la Carrera</w:t>
            </w:r>
          </w:p>
        </w:tc>
      </w:tr>
      <w:tr w:rsidR="00772EB2" w14:paraId="72BA883F" w14:textId="77777777" w:rsidTr="00193A91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0000007B" w14:textId="77777777" w:rsidR="00772EB2" w:rsidRDefault="00F53700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19. Palabras Clave</w:t>
            </w:r>
          </w:p>
          <w:p w14:paraId="0000007C" w14:textId="77777777" w:rsidR="00772EB2" w:rsidRDefault="00F53700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Diseño de Investigación Social; Metodología de Investigación Social; Métodos Cuantitativos; Métodos Cualitativos.</w:t>
            </w:r>
          </w:p>
        </w:tc>
      </w:tr>
      <w:tr w:rsidR="00772EB2" w14:paraId="7909BFE9" w14:textId="77777777" w:rsidTr="00193A91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0000007F" w14:textId="77777777" w:rsidR="00772EB2" w:rsidRDefault="00F53700">
            <w:pPr>
              <w:spacing w:after="200" w:line="276" w:lineRule="auto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20. Bibliografía Obligatoria</w:t>
            </w:r>
          </w:p>
          <w:p w14:paraId="00000080" w14:textId="1B049F62" w:rsidR="00772EB2" w:rsidRDefault="00F53700">
            <w:pPr>
              <w:spacing w:after="200" w:line="276" w:lineRule="auto"/>
              <w:rPr>
                <w:i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lastRenderedPageBreak/>
              <w:t>Tex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tos a fichar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  <w:p w14:paraId="00000081" w14:textId="77777777" w:rsidR="00772EB2" w:rsidRDefault="00F53700">
            <w:pPr>
              <w:spacing w:after="200" w:line="276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Giddens, A. (2014). Sociología. Alianza Editorial. Capítulo 3</w:t>
            </w:r>
          </w:p>
          <w:p w14:paraId="00000082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Becker, Howard (2011). “Abrumado por la bibliografía”. En: Manual de escritura para científicos sociales: cómo empezar y terminar una tesis, un libro o un artículo. Siglo Veintiuno Editores, Buenos Aires. </w:t>
            </w:r>
          </w:p>
          <w:p w14:paraId="00000083" w14:textId="0297DE69" w:rsidR="00772EB2" w:rsidRDefault="00F53700" w:rsidP="00193A9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Canales, Manuel (ed.) (2006).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Metodologías de investigación social. Introducción a los oficios.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Santiago de Chile: LOM.</w:t>
            </w:r>
            <w:r w:rsidR="00193A91">
              <w:rPr>
                <w:rFonts w:ascii="Calibri" w:eastAsia="Calibri" w:hAnsi="Calibri" w:cs="Calibri"/>
                <w:sz w:val="20"/>
                <w:szCs w:val="20"/>
              </w:rPr>
              <w:t xml:space="preserve"> Capítulo Presentación.</w:t>
            </w:r>
          </w:p>
          <w:p w14:paraId="00000084" w14:textId="77777777" w:rsidR="00772EB2" w:rsidRDefault="00772EB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000085" w14:textId="77777777" w:rsidR="00772EB2" w:rsidRDefault="00F53700">
            <w:pPr>
              <w:spacing w:before="120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Textos de referencia</w:t>
            </w:r>
          </w:p>
          <w:p w14:paraId="00000086" w14:textId="77777777" w:rsidR="00772EB2" w:rsidRDefault="00F53700" w:rsidP="00193A91">
            <w:pPr>
              <w:spacing w:before="120" w:after="120"/>
              <w:ind w:left="284" w:hanging="28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Babbie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Earl (2000).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Fundamentos de la investigación social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México: International Thomson Editores.</w:t>
            </w:r>
          </w:p>
          <w:p w14:paraId="06B337EA" w14:textId="77777777" w:rsidR="00193A91" w:rsidRDefault="00F53700" w:rsidP="00193A91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Beltrán, M.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(1996) “Cinco vías de acceso a la realidad social”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En: García Ferrando, M.; Ibáñez J.; Alvira F. El Análisis de la Realidad Social. Métodos y Técnicas de Investigación. Segunda Edición. Alianza Editorial. Madrid. pp. 19 – 49.</w:t>
            </w:r>
          </w:p>
          <w:p w14:paraId="00000089" w14:textId="37425492" w:rsidR="00772EB2" w:rsidRDefault="00F53700" w:rsidP="00193A91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Canales, Manuel (2013).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Inv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estigación social: lenguajes del diseño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Santiago, LOM Ediciones.</w:t>
            </w:r>
          </w:p>
          <w:p w14:paraId="678796A0" w14:textId="4F2BBDC4" w:rsidR="00193A91" w:rsidRPr="00DB24E4" w:rsidRDefault="00193A91" w:rsidP="00193A91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193A91">
              <w:rPr>
                <w:rFonts w:asciiTheme="minorHAnsi" w:hAnsiTheme="minorHAnsi" w:cstheme="minorHAnsi"/>
                <w:bCs/>
                <w:sz w:val="20"/>
                <w:szCs w:val="20"/>
              </w:rPr>
              <w:t>Duarte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Pr="00193A9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Klaudio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(2014). “</w:t>
            </w:r>
            <w:r w:rsidRPr="00193A91">
              <w:rPr>
                <w:rFonts w:asciiTheme="minorHAnsi" w:hAnsiTheme="minorHAnsi" w:cstheme="minorHAnsi"/>
                <w:bCs/>
                <w:sz w:val="20"/>
                <w:szCs w:val="20"/>
              </w:rPr>
              <w:t>Construcción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</w:t>
            </w:r>
            <w:r w:rsidRPr="00193A9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Objetos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</w:t>
            </w:r>
            <w:r w:rsidRPr="00193A9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Investigaci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ó</w:t>
            </w:r>
            <w:r w:rsidRPr="00193A91">
              <w:rPr>
                <w:rFonts w:asciiTheme="minorHAnsi" w:hAnsiTheme="minorHAnsi" w:cstheme="minorHAnsi"/>
                <w:bCs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”. En: </w:t>
            </w:r>
            <w:r w:rsidRPr="00193A91"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>Manuel Canales (Editor)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93A91"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>Investigación Social. Lenguajes del diseño. Editorial LOM. Santiago de Chile, 2014. Páginas 231-244</w:t>
            </w:r>
            <w:r>
              <w:rPr>
                <w:rFonts w:ascii="Times New Roman" w:hAnsi="Times New Roman" w:cs="Times New Roman"/>
                <w:bCs/>
                <w:lang w:val="es-MX"/>
              </w:rPr>
              <w:t>.</w:t>
            </w:r>
          </w:p>
          <w:p w14:paraId="0DC5D36E" w14:textId="77777777" w:rsidR="00772EB2" w:rsidRDefault="00F53700" w:rsidP="00193A91">
            <w:pPr>
              <w:spacing w:before="120" w:after="120"/>
              <w:ind w:left="82" w:hanging="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Dalle, Pablo; Elbert, Rodolfo;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Boniolo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Paula &amp;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Sautu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Ruth (2005).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Manual de metodología. Construcción del marco teórico, formulación de los objetivos y elección de la metodología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CLACSO,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Consejo Latinoamericano de Ciencias Sociales</w:t>
            </w:r>
            <w:r w:rsidR="00193A9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0000008D" w14:textId="6B21E11C" w:rsidR="00193A91" w:rsidRDefault="00193A91" w:rsidP="00193A91">
            <w:pPr>
              <w:spacing w:before="120" w:after="120"/>
              <w:ind w:left="82" w:hanging="8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72EB2" w14:paraId="0614448F" w14:textId="77777777" w:rsidTr="00193A91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00000090" w14:textId="77777777" w:rsidR="00772EB2" w:rsidRDefault="00F537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21. Bibliografía Complementaria</w:t>
            </w:r>
          </w:p>
          <w:p w14:paraId="00000091" w14:textId="77777777" w:rsidR="00772EB2" w:rsidRDefault="00F53700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Referencias adicionales que serán usadas puntualmente o como lecturas complementarias:</w:t>
            </w:r>
          </w:p>
          <w:p w14:paraId="00000092" w14:textId="77777777" w:rsidR="00772EB2" w:rsidRDefault="00F53700">
            <w:pPr>
              <w:spacing w:before="120"/>
              <w:ind w:left="284" w:hanging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Becker, Howard (2009).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Trucos del oficio: cómo conducir su investigación en ciencias sociales.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Siglo Veintiuno Editores, Buenos Aires.</w:t>
            </w:r>
          </w:p>
          <w:p w14:paraId="00000093" w14:textId="77777777" w:rsidR="00772EB2" w:rsidRDefault="00F53700">
            <w:pPr>
              <w:spacing w:before="120"/>
              <w:ind w:left="284" w:hanging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Becker, Howard (2011).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Manual de 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scritura para científicos sociales: cómo empezar y terminar una tesis, un libro o un artículo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Siglo Veintiuno Editores, Buenos Aires.</w:t>
            </w:r>
          </w:p>
          <w:p w14:paraId="00000094" w14:textId="77777777" w:rsidR="00772EB2" w:rsidRDefault="00F53700">
            <w:pPr>
              <w:spacing w:before="120"/>
              <w:ind w:left="284" w:hanging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Briones, Guillermo (2003).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Métodos y técnicas de investigación para las ciencias sociales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México: Trillas.</w:t>
            </w:r>
          </w:p>
          <w:p w14:paraId="00000095" w14:textId="77777777" w:rsidR="00772EB2" w:rsidRDefault="00F53700">
            <w:pPr>
              <w:spacing w:before="120"/>
              <w:ind w:left="284" w:hanging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Cea M. (1998)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Metodología Cuantitativa. Estrategias y técnicas de investigación social. Madrid: Síntesis.</w:t>
            </w:r>
          </w:p>
          <w:p w14:paraId="00000096" w14:textId="77777777" w:rsidR="00772EB2" w:rsidRDefault="00F53700">
            <w:pPr>
              <w:spacing w:before="120"/>
              <w:ind w:left="284" w:hanging="28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Chitarroni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Horacio (coord.) (2008)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La investigación en Ciencias Sociales: lógicas, métodos y técnicas para abordar la realidad social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Ediciones U. del Salvador. Buenos Aires</w:t>
            </w:r>
          </w:p>
          <w:p w14:paraId="00000097" w14:textId="77777777" w:rsidR="00772EB2" w:rsidRDefault="00F53700">
            <w:pPr>
              <w:spacing w:before="120"/>
              <w:ind w:left="284" w:hanging="28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Flick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Uwe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2007).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Introducción a la investigación cualitativa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Ediciones Morata, Madrid.</w:t>
            </w:r>
          </w:p>
          <w:p w14:paraId="00000098" w14:textId="794CD7EF" w:rsidR="00772EB2" w:rsidRDefault="00F53700">
            <w:pPr>
              <w:spacing w:before="120"/>
              <w:ind w:left="284" w:hanging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Giddens, Anthony (2010).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Sociología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Alianza Editorial, Madrid.</w:t>
            </w:r>
          </w:p>
          <w:p w14:paraId="1889E0C7" w14:textId="77777777" w:rsidR="00193A91" w:rsidRDefault="00193A91" w:rsidP="00193A91">
            <w:pPr>
              <w:spacing w:before="120" w:after="120"/>
              <w:ind w:left="82" w:hanging="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Hernández, Roberto; Fernández, Carlos y Baptista, María (2014).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Metodología de la investigación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México DF: McGraw-Hill, 6ta edición. </w:t>
            </w:r>
          </w:p>
          <w:p w14:paraId="00000099" w14:textId="77777777" w:rsidR="00772EB2" w:rsidRDefault="00F53700">
            <w:pPr>
              <w:spacing w:before="120"/>
              <w:ind w:left="284" w:hanging="28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Marradi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Alberto;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Archenti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Nélida &amp;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Piovani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Juan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ignacio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(2007)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Metodología de las Ciencias Sociales.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Emece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Editores. Buenos Aires.</w:t>
            </w:r>
          </w:p>
          <w:p w14:paraId="0000009A" w14:textId="77777777" w:rsidR="00772EB2" w:rsidRDefault="00F53700">
            <w:pPr>
              <w:spacing w:before="120"/>
              <w:ind w:left="284" w:hanging="28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Sautu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Ruth (2003).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Todo es Teoría: objetivos y métodos de investigación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Ed.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Lumiere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Buenos Aires.</w:t>
            </w:r>
          </w:p>
          <w:p w14:paraId="0000009B" w14:textId="77777777" w:rsidR="00772EB2" w:rsidRDefault="00F53700">
            <w:pPr>
              <w:spacing w:before="120"/>
              <w:ind w:left="284" w:hanging="28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Stake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Robert E. (1998).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Investigación con estudio de casos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Ediciones Morata.</w:t>
            </w:r>
          </w:p>
          <w:p w14:paraId="0000009C" w14:textId="77777777" w:rsidR="00772EB2" w:rsidRDefault="00F53700">
            <w:pPr>
              <w:spacing w:before="120"/>
              <w:ind w:left="284" w:hanging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aylor, Steve &amp;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Bogdan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Robert (1987).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Introducción a los métodos cualitativos de investigación. La búsqueda de significado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Barcelona: Paidós.</w:t>
            </w:r>
          </w:p>
          <w:p w14:paraId="0000009D" w14:textId="77777777" w:rsidR="00772EB2" w:rsidRDefault="00F53700">
            <w:pPr>
              <w:spacing w:before="120"/>
              <w:ind w:left="284" w:hanging="28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Tarres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M. Luisa (2001) Observar, escuchar y comprender. Sobre la tradición cualitativa en la investigación socia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l. México: El Colegio de México.</w:t>
            </w:r>
          </w:p>
          <w:p w14:paraId="0000009E" w14:textId="77777777" w:rsidR="00772EB2" w:rsidRDefault="00F53700">
            <w:pPr>
              <w:spacing w:before="120"/>
              <w:ind w:left="284" w:hanging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Weiss, Carol. H. (1983).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Investigación evaluativa. Métodos para determinar la eficiencia de los programas de acción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México, D.F.: Trillas.</w:t>
            </w:r>
          </w:p>
          <w:p w14:paraId="7974174B" w14:textId="77777777" w:rsidR="00772EB2" w:rsidRDefault="00F53700">
            <w:pPr>
              <w:spacing w:before="120"/>
              <w:ind w:left="284" w:hanging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Wrigth Mills, C. (1975). Sobre artesanía intelectual. En: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La imaginación sociológic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México: Fondo de Cultura Económica.</w:t>
            </w:r>
          </w:p>
          <w:p w14:paraId="0000009F" w14:textId="7C80EF95" w:rsidR="00193A91" w:rsidRDefault="00193A91">
            <w:pPr>
              <w:spacing w:before="120"/>
              <w:ind w:left="284" w:hanging="28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72EB2" w14:paraId="5296DF9D" w14:textId="77777777" w:rsidTr="00193A91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000000A2" w14:textId="77777777" w:rsidR="00772EB2" w:rsidRDefault="00F53700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22. Recursos web </w:t>
            </w:r>
          </w:p>
          <w:p w14:paraId="000000A3" w14:textId="77777777" w:rsidR="00772EB2" w:rsidRDefault="00F53700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 SOCIOLOGÍA COMO DEPORTE DE COMBATE: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https://www.youtube.com/watch?v=xkkDSSRYpWw</w:t>
            </w:r>
          </w:p>
        </w:tc>
      </w:tr>
      <w:tr w:rsidR="00772EB2" w14:paraId="010D76AF" w14:textId="77777777" w:rsidTr="00193A91">
        <w:trPr>
          <w:jc w:val="center"/>
        </w:trPr>
        <w:tc>
          <w:tcPr>
            <w:tcW w:w="9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000000A6" w14:textId="77777777" w:rsidR="00772EB2" w:rsidRDefault="00F53700">
            <w:pPr>
              <w:spacing w:after="200" w:line="276" w:lineRule="auto"/>
              <w:jc w:val="both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23. Programación por sesiones </w:t>
            </w:r>
          </w:p>
        </w:tc>
      </w:tr>
    </w:tbl>
    <w:tbl>
      <w:tblPr>
        <w:tblStyle w:val="a0"/>
        <w:tblW w:w="917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8"/>
        <w:gridCol w:w="7938"/>
      </w:tblGrid>
      <w:tr w:rsidR="00772EB2" w:rsidRPr="00193A91" w14:paraId="7C8ED995" w14:textId="77777777" w:rsidTr="00193A91"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00000AE" w14:textId="77777777" w:rsidR="00772EB2" w:rsidRPr="00193A91" w:rsidRDefault="00F5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3A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Fecha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000000AF" w14:textId="77777777" w:rsidR="00772EB2" w:rsidRPr="00193A91" w:rsidRDefault="00F5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3A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Sesión</w:t>
            </w:r>
          </w:p>
        </w:tc>
      </w:tr>
      <w:tr w:rsidR="00193A91" w:rsidRPr="00193A91" w14:paraId="0F3E2A4F" w14:textId="77777777" w:rsidTr="00193A91"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00000B0" w14:textId="77777777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="Calibri" w:hAnsiTheme="minorHAnsi" w:cstheme="minorHAnsi"/>
                <w:sz w:val="22"/>
                <w:szCs w:val="22"/>
              </w:rPr>
              <w:t>02/08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000000B1" w14:textId="496DA0D9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1. La lógica de la investigación </w:t>
            </w:r>
          </w:p>
        </w:tc>
      </w:tr>
      <w:tr w:rsidR="00193A91" w:rsidRPr="00193A91" w14:paraId="5EE9DD68" w14:textId="77777777" w:rsidTr="00193A91"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00000B2" w14:textId="77777777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="Calibri" w:hAnsiTheme="minorHAnsi" w:cstheme="minorHAnsi"/>
                <w:sz w:val="22"/>
                <w:szCs w:val="22"/>
              </w:rPr>
              <w:t>09/08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000000B3" w14:textId="0DC07310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hAnsiTheme="minorHAnsi" w:cstheme="minorHAnsi"/>
                <w:sz w:val="22"/>
                <w:szCs w:val="22"/>
              </w:rPr>
              <w:t>2. Visión general</w:t>
            </w:r>
          </w:p>
        </w:tc>
      </w:tr>
      <w:tr w:rsidR="00193A91" w:rsidRPr="00193A91" w14:paraId="4CDFCE46" w14:textId="77777777" w:rsidTr="00193A91"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00000B4" w14:textId="77777777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="Calibri" w:hAnsiTheme="minorHAnsi" w:cstheme="minorHAnsi"/>
                <w:sz w:val="22"/>
                <w:szCs w:val="22"/>
              </w:rPr>
              <w:t>16/08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000000B5" w14:textId="2B0AD234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Theme="minorEastAsia" w:hAnsiTheme="minorHAnsi" w:cstheme="minorHAnsi"/>
                <w:sz w:val="22"/>
                <w:szCs w:val="22"/>
              </w:rPr>
              <w:t>3. Enfoques metodológicos</w:t>
            </w:r>
          </w:p>
        </w:tc>
      </w:tr>
      <w:tr w:rsidR="00193A91" w:rsidRPr="00193A91" w14:paraId="40F9380F" w14:textId="77777777" w:rsidTr="00193A91"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00000B6" w14:textId="77777777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="Calibri" w:hAnsiTheme="minorHAnsi" w:cstheme="minorHAnsi"/>
                <w:sz w:val="22"/>
                <w:szCs w:val="22"/>
              </w:rPr>
              <w:t>23/08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000000B7" w14:textId="592EE0DE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hAnsiTheme="minorHAnsi" w:cstheme="minorHAnsi"/>
                <w:sz w:val="22"/>
                <w:szCs w:val="22"/>
              </w:rPr>
              <w:t>4. La observación de la realidad social como insumo para la problematización</w:t>
            </w:r>
            <w:r w:rsidRPr="00193A9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93A91" w:rsidRPr="00193A91" w14:paraId="33E86F1E" w14:textId="77777777" w:rsidTr="00193A91"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00000B8" w14:textId="77777777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="Calibri" w:hAnsiTheme="minorHAnsi" w:cstheme="minorHAnsi"/>
                <w:sz w:val="22"/>
                <w:szCs w:val="22"/>
              </w:rPr>
              <w:t>30/08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000000B9" w14:textId="76758587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5. Preguntas de investigación </w:t>
            </w:r>
          </w:p>
        </w:tc>
      </w:tr>
      <w:tr w:rsidR="00193A91" w:rsidRPr="00193A91" w14:paraId="76FB994D" w14:textId="77777777" w:rsidTr="00193A91"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00000BA" w14:textId="77777777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="Calibri" w:hAnsiTheme="minorHAnsi" w:cstheme="minorHAnsi"/>
                <w:sz w:val="22"/>
                <w:szCs w:val="22"/>
              </w:rPr>
              <w:t>06/09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000000BB" w14:textId="159086EE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Theme="minorEastAsia" w:hAnsiTheme="minorHAnsi" w:cstheme="minorHAnsi"/>
                <w:sz w:val="22"/>
                <w:szCs w:val="22"/>
              </w:rPr>
              <w:t>6. Presentaciones sobre problematización (3 tesistas exponen planteamiento del problema)</w:t>
            </w:r>
          </w:p>
        </w:tc>
      </w:tr>
      <w:tr w:rsidR="00193A91" w:rsidRPr="00193A91" w14:paraId="2D352326" w14:textId="77777777" w:rsidTr="00193A91"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8" w:type="dxa"/>
            </w:tcMar>
          </w:tcPr>
          <w:p w14:paraId="000000BC" w14:textId="77777777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="Calibri" w:hAnsiTheme="minorHAnsi" w:cstheme="minorHAnsi"/>
                <w:sz w:val="22"/>
                <w:szCs w:val="22"/>
              </w:rPr>
              <w:t>13/09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</w:tcMar>
          </w:tcPr>
          <w:p w14:paraId="000000BD" w14:textId="4456CF1A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Theme="minorEastAsia" w:hAnsiTheme="minorHAnsi" w:cstheme="minorHAnsi"/>
                <w:sz w:val="22"/>
                <w:szCs w:val="22"/>
              </w:rPr>
              <w:t>Vacaciones fiestas patrias</w:t>
            </w:r>
          </w:p>
        </w:tc>
      </w:tr>
      <w:tr w:rsidR="00193A91" w:rsidRPr="00193A91" w14:paraId="6A922C2A" w14:textId="77777777" w:rsidTr="00193A91"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00000BE" w14:textId="77777777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="Calibri" w:hAnsiTheme="minorHAnsi" w:cstheme="minorHAnsi"/>
                <w:sz w:val="22"/>
                <w:szCs w:val="22"/>
              </w:rPr>
              <w:t>20/09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000000BF" w14:textId="77062105" w:rsidR="00193A91" w:rsidRPr="00193A91" w:rsidRDefault="00193A91" w:rsidP="00193A91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7. Preguntas/objetivos/hipótesis </w:t>
            </w:r>
          </w:p>
        </w:tc>
      </w:tr>
      <w:tr w:rsidR="00193A91" w:rsidRPr="00193A91" w14:paraId="04B52C6A" w14:textId="77777777" w:rsidTr="00193A91"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00000C0" w14:textId="77777777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="Calibri" w:hAnsiTheme="minorHAnsi" w:cstheme="minorHAnsi"/>
                <w:sz w:val="22"/>
                <w:szCs w:val="22"/>
              </w:rPr>
              <w:t>27/09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000000C1" w14:textId="71CD9626" w:rsidR="00193A91" w:rsidRPr="00193A91" w:rsidRDefault="00193A91" w:rsidP="00193A91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8. Revisión de literatura  </w:t>
            </w:r>
          </w:p>
        </w:tc>
      </w:tr>
      <w:tr w:rsidR="00193A91" w:rsidRPr="00193A91" w14:paraId="35759A3A" w14:textId="77777777" w:rsidTr="00193A91"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00000C2" w14:textId="77777777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="Calibri" w:hAnsiTheme="minorHAnsi" w:cstheme="minorHAnsi"/>
                <w:sz w:val="22"/>
                <w:szCs w:val="22"/>
              </w:rPr>
              <w:t>04/10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000000C3" w14:textId="156B6467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Theme="minorEastAsia" w:hAnsiTheme="minorHAnsi" w:cstheme="minorHAnsi"/>
                <w:sz w:val="22"/>
                <w:szCs w:val="22"/>
              </w:rPr>
              <w:t>9. Volver a la pregunta de investigación</w:t>
            </w:r>
          </w:p>
        </w:tc>
      </w:tr>
      <w:tr w:rsidR="00193A91" w:rsidRPr="00193A91" w14:paraId="7BAA73FD" w14:textId="77777777" w:rsidTr="00193A91"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8" w:type="dxa"/>
            </w:tcMar>
          </w:tcPr>
          <w:p w14:paraId="000000C4" w14:textId="77777777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="Calibri" w:hAnsiTheme="minorHAnsi" w:cstheme="minorHAnsi"/>
                <w:sz w:val="22"/>
                <w:szCs w:val="22"/>
              </w:rPr>
              <w:t>11/10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</w:tcMar>
          </w:tcPr>
          <w:p w14:paraId="000000C5" w14:textId="5936EE3D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Theme="minorEastAsia" w:hAnsiTheme="minorHAnsi" w:cstheme="minorHAnsi"/>
                <w:sz w:val="22"/>
                <w:szCs w:val="22"/>
              </w:rPr>
              <w:t>Feriado/ receso</w:t>
            </w:r>
          </w:p>
        </w:tc>
      </w:tr>
      <w:tr w:rsidR="00193A91" w:rsidRPr="00193A91" w14:paraId="5530B7B5" w14:textId="77777777" w:rsidTr="00193A91"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00000C6" w14:textId="77777777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="Calibri" w:hAnsiTheme="minorHAnsi" w:cstheme="minorHAnsi"/>
                <w:sz w:val="22"/>
                <w:szCs w:val="22"/>
              </w:rPr>
              <w:t>18/10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000000C7" w14:textId="2B5E87EF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Theme="minorEastAsia" w:hAnsiTheme="minorHAnsi" w:cstheme="minorHAnsi"/>
                <w:sz w:val="22"/>
                <w:szCs w:val="22"/>
              </w:rPr>
              <w:t>10. Teorías y conceptos</w:t>
            </w:r>
          </w:p>
        </w:tc>
      </w:tr>
      <w:tr w:rsidR="00193A91" w:rsidRPr="00193A91" w14:paraId="49046BE7" w14:textId="77777777" w:rsidTr="00193A91"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00000C8" w14:textId="77777777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25/10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000000C9" w14:textId="64919345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Theme="minorEastAsia" w:hAnsiTheme="minorHAnsi" w:cstheme="minorHAnsi"/>
                <w:sz w:val="22"/>
                <w:szCs w:val="22"/>
              </w:rPr>
              <w:t>11. Presentación trabajos taller</w:t>
            </w:r>
          </w:p>
        </w:tc>
      </w:tr>
      <w:tr w:rsidR="00193A91" w:rsidRPr="00193A91" w14:paraId="49AC4BE4" w14:textId="77777777" w:rsidTr="00193A91"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8" w:type="dxa"/>
            </w:tcMar>
          </w:tcPr>
          <w:p w14:paraId="000000CA" w14:textId="77777777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="Calibri" w:hAnsiTheme="minorHAnsi" w:cstheme="minorHAnsi"/>
                <w:sz w:val="22"/>
                <w:szCs w:val="22"/>
              </w:rPr>
              <w:t>01/11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</w:tcMar>
          </w:tcPr>
          <w:p w14:paraId="000000CB" w14:textId="02F0D58A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Theme="minorEastAsia" w:hAnsiTheme="minorHAnsi" w:cstheme="minorHAnsi"/>
                <w:sz w:val="22"/>
                <w:szCs w:val="22"/>
              </w:rPr>
              <w:t>Feriado</w:t>
            </w:r>
          </w:p>
        </w:tc>
      </w:tr>
      <w:tr w:rsidR="00193A91" w:rsidRPr="00193A91" w14:paraId="71E854E6" w14:textId="77777777" w:rsidTr="00193A91"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8" w:type="dxa"/>
            </w:tcMar>
          </w:tcPr>
          <w:p w14:paraId="000000CC" w14:textId="77777777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="Calibri" w:hAnsiTheme="minorHAnsi" w:cstheme="minorHAnsi"/>
                <w:sz w:val="22"/>
                <w:szCs w:val="22"/>
              </w:rPr>
              <w:t>08/11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</w:tcMar>
          </w:tcPr>
          <w:p w14:paraId="000000CD" w14:textId="733EDE1E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Theme="minorEastAsia" w:hAnsiTheme="minorHAnsi" w:cstheme="minorHAnsi"/>
                <w:sz w:val="22"/>
                <w:szCs w:val="22"/>
              </w:rPr>
              <w:t>Semana de receso</w:t>
            </w:r>
          </w:p>
        </w:tc>
      </w:tr>
      <w:tr w:rsidR="00193A91" w:rsidRPr="00193A91" w14:paraId="790DEB0B" w14:textId="77777777" w:rsidTr="00193A91"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00000CE" w14:textId="77777777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="Calibri" w:hAnsiTheme="minorHAnsi" w:cstheme="minorHAnsi"/>
                <w:sz w:val="22"/>
                <w:szCs w:val="22"/>
              </w:rPr>
              <w:t>15/11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000000CF" w14:textId="4DDC1C69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Theme="minorEastAsia" w:hAnsiTheme="minorHAnsi" w:cstheme="minorHAnsi"/>
                <w:sz w:val="22"/>
                <w:szCs w:val="22"/>
              </w:rPr>
              <w:t>12. Aproximación metodológica general: Los diseños de investigación I</w:t>
            </w:r>
          </w:p>
        </w:tc>
      </w:tr>
      <w:tr w:rsidR="00193A91" w:rsidRPr="00193A91" w14:paraId="25FF0FFD" w14:textId="77777777" w:rsidTr="00193A91"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00000D0" w14:textId="77777777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="Calibri" w:hAnsiTheme="minorHAnsi" w:cstheme="minorHAnsi"/>
                <w:sz w:val="22"/>
                <w:szCs w:val="22"/>
              </w:rPr>
              <w:t>22/11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000000D1" w14:textId="103AB732" w:rsidR="00193A91" w:rsidRPr="00193A91" w:rsidRDefault="00193A91" w:rsidP="0019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3A91">
              <w:rPr>
                <w:rFonts w:asciiTheme="minorHAnsi" w:eastAsiaTheme="minorEastAsia" w:hAnsiTheme="minorHAnsi" w:cstheme="minorHAnsi"/>
                <w:sz w:val="22"/>
                <w:szCs w:val="22"/>
              </w:rPr>
              <w:t>13. Aproximación metodológica general: Los diseños de investigación II</w:t>
            </w:r>
          </w:p>
        </w:tc>
      </w:tr>
    </w:tbl>
    <w:p w14:paraId="000000D2" w14:textId="77777777" w:rsidR="00772EB2" w:rsidRDefault="00772EB2">
      <w:pPr>
        <w:rPr>
          <w:rFonts w:ascii="Arial" w:eastAsia="Arial" w:hAnsi="Arial" w:cs="Arial"/>
        </w:rPr>
      </w:pPr>
    </w:p>
    <w:p w14:paraId="000000D3" w14:textId="77777777" w:rsidR="00772EB2" w:rsidRDefault="00772EB2"/>
    <w:sectPr w:rsidR="00772EB2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ECFB" w14:textId="77777777" w:rsidR="00F53700" w:rsidRDefault="00F53700">
      <w:r>
        <w:separator/>
      </w:r>
    </w:p>
  </w:endnote>
  <w:endnote w:type="continuationSeparator" w:id="0">
    <w:p w14:paraId="3C89A88D" w14:textId="77777777" w:rsidR="00F53700" w:rsidRDefault="00F5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5" w14:textId="77777777" w:rsidR="00772EB2" w:rsidRDefault="00F537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5511800</wp:posOffset>
              </wp:positionH>
              <wp:positionV relativeFrom="paragraph">
                <wp:posOffset>0</wp:posOffset>
              </wp:positionV>
              <wp:extent cx="101600" cy="187325"/>
              <wp:effectExtent l="0" t="0" r="0" b="0"/>
              <wp:wrapSquare wrapText="bothSides" distT="0" distB="0" distL="0" distR="0"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0280" y="3691440"/>
                        <a:ext cx="91440" cy="177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AB20" w14:textId="77777777" w:rsidR="00772EB2" w:rsidRDefault="00F537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PAGE7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3" o:spid="_x0000_s1026" style="position:absolute;margin-left:434pt;margin-top:0;width:8pt;height:14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fcryQEAAHADAAAOAAAAZHJzL2Uyb0RvYy54bWysU9uO0zAQfUfiHyy/0yTtsrtEdVeIVRHS&#10;CioWPsB17MaSb3jcJv0cvoUfY+yku1zeEC/OeDw6c86ZyfputIacZATtHaPNoqZEOuE77Q6Mfv2y&#10;fXVLCSTuOm68k4yeJdC7zcsX6yG0cul7bzoZCYI4aIfAaJ9SaKsKRC8th4UP0uGj8tHyhNd4qLrI&#10;B0S3plrW9XU1+NiF6IUEwOz99Eg3BV8pKdInpUAmYhhFbqmcsZz7fFabNW8PkYdei5kG/wcWlmuH&#10;TZ+g7nni5Bj1X1BWi+jBq7QQ3lZeKS1k0YBqmvoPNY89D7JoQXMgPNkE/w9WfDztItEdoytKHLc4&#10;os9o2o/v7nA0nqyyQUOAFusewy7ON8Awqx1VtPmLOsjI6OtVXS9v0eYzwl2/aa6uZoPlmIjAgilF&#10;BL43NzfNsjxXzzghQnovvSU5YDQik+IqPz1Awt5YeinJbZ3famPKCI37LYGFOVNl6hPZHKVxP84K&#10;9r47o3AIYqux1wOHtOMRR99QMuA6MArfjjxKSswHh37n3bkE8RLsLwF3ove4VYmSKXyXyo5NnN4e&#10;k1e68M8sptYzORxrkTWvYN6bX++l6vlH2fwEAAD//wMAUEsDBBQABgAIAAAAIQCZdDGE3gAAAAcB&#10;AAAPAAAAZHJzL2Rvd25yZXYueG1sTI/NTsMwEITvSLyDtUjcqEMFlRPiVBU/KkfaIhVubrwkEfY6&#10;it0m8PQsJ7isZjWrmW/L5eSdOOEQu0AarmcZCKQ62I4aDa+7pysFIiZD1rhAqOELIyyr87PSFDaM&#10;tMHTNjWCQygWRkObUl9IGesWvYmz0COx9xEGbxKvQyPtYEYO907Os2whvemIG1rT432L9ef26DWs&#10;Vb96ew7fY+Me39f7l33+sMuT1pcX0+oORMIp/R3DLz6jQ8VMh3AkG4XToBaKf0kaeLKt1A2Lg4Z5&#10;fguyKuV//uoHAAD//wMAUEsBAi0AFAAGAAgAAAAhALaDOJL+AAAA4QEAABMAAAAAAAAAAAAAAAAA&#10;AAAAAFtDb250ZW50X1R5cGVzXS54bWxQSwECLQAUAAYACAAAACEAOP0h/9YAAACUAQAACwAAAAAA&#10;AAAAAAAAAAAvAQAAX3JlbHMvLnJlbHNQSwECLQAUAAYACAAAACEAfQH3K8kBAABwAwAADgAAAAAA&#10;AAAAAAAAAAAuAgAAZHJzL2Uyb0RvYy54bWxQSwECLQAUAAYACAAAACEAmXQxhN4AAAAHAQAADwAA&#10;AAAAAAAAAAAAAAAjBAAAZHJzL2Rvd25yZXYueG1sUEsFBgAAAAAEAAQA8wAAAC4FAAAAAA==&#10;" filled="f" stroked="f">
              <v:textbox inset="0,0,0,0">
                <w:txbxContent>
                  <w:p w14:paraId="60F1AB20" w14:textId="77777777" w:rsidR="00772EB2" w:rsidRDefault="00F537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</w:rPr>
                      <w:t>PAGE7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CA3A" w14:textId="77777777" w:rsidR="00F53700" w:rsidRDefault="00F53700">
      <w:r>
        <w:separator/>
      </w:r>
    </w:p>
  </w:footnote>
  <w:footnote w:type="continuationSeparator" w:id="0">
    <w:p w14:paraId="579B85B5" w14:textId="77777777" w:rsidR="00F53700" w:rsidRDefault="00F53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4" w14:textId="77777777" w:rsidR="00772EB2" w:rsidRDefault="00F537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-4444</wp:posOffset>
          </wp:positionH>
          <wp:positionV relativeFrom="paragraph">
            <wp:posOffset>-121284</wp:posOffset>
          </wp:positionV>
          <wp:extent cx="5612130" cy="34925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349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D07"/>
    <w:multiLevelType w:val="multilevel"/>
    <w:tmpl w:val="A75611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A6674"/>
    <w:multiLevelType w:val="multilevel"/>
    <w:tmpl w:val="8D00C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B2"/>
    <w:rsid w:val="00193A91"/>
    <w:rsid w:val="00772EB2"/>
    <w:rsid w:val="007B7074"/>
    <w:rsid w:val="00F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F8C7"/>
  <w15:docId w15:val="{6D5467B0-78FF-45B5-A6EC-7FD9FF34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A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9D3"/>
    <w:pPr>
      <w:suppressAutoHyphens/>
    </w:pPr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link w:val="TtuloCar"/>
    <w:uiPriority w:val="10"/>
    <w:qFormat/>
    <w:rsid w:val="003E4B4F"/>
    <w:pPr>
      <w:jc w:val="center"/>
    </w:pPr>
    <w:rPr>
      <w:rFonts w:ascii="Times New Roman" w:hAnsi="Times New Roman"/>
      <w:b/>
      <w:szCs w:val="20"/>
    </w:rPr>
  </w:style>
  <w:style w:type="character" w:customStyle="1" w:styleId="EnlacedeInternet">
    <w:name w:val="Enlace de Internet"/>
    <w:basedOn w:val="Fuentedeprrafopredeter"/>
    <w:uiPriority w:val="99"/>
    <w:unhideWhenUsed/>
    <w:rsid w:val="008E676F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F79FB"/>
  </w:style>
  <w:style w:type="character" w:styleId="Nmerodepgina">
    <w:name w:val="page number"/>
    <w:basedOn w:val="Fuentedeprrafopredeter"/>
    <w:uiPriority w:val="99"/>
    <w:semiHidden/>
    <w:unhideWhenUsed/>
    <w:qFormat/>
    <w:rsid w:val="00EF79FB"/>
  </w:style>
  <w:style w:type="character" w:customStyle="1" w:styleId="EncabezadoCar">
    <w:name w:val="Encabezado Car"/>
    <w:basedOn w:val="Fuentedeprrafopredeter"/>
    <w:link w:val="Encabezado"/>
    <w:uiPriority w:val="99"/>
    <w:qFormat/>
    <w:rsid w:val="00EF79F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qFormat/>
    <w:rsid w:val="00010172"/>
  </w:style>
  <w:style w:type="character" w:customStyle="1" w:styleId="TtuloCar">
    <w:name w:val="Título Car"/>
    <w:basedOn w:val="Fuentedeprrafopredeter"/>
    <w:link w:val="Ttulo"/>
    <w:qFormat/>
    <w:rsid w:val="003E4B4F"/>
    <w:rPr>
      <w:rFonts w:ascii="Times New Roman" w:hAnsi="Times New Roman"/>
      <w:b/>
      <w:sz w:val="24"/>
      <w:lang w:eastAsia="es-ES"/>
    </w:rPr>
  </w:style>
  <w:style w:type="character" w:customStyle="1" w:styleId="Refdenotaalpie1">
    <w:name w:val="Ref. de nota al pie1"/>
    <w:qFormat/>
    <w:rsid w:val="003E4B4F"/>
    <w:rPr>
      <w:vertAlign w:val="superscript"/>
    </w:rPr>
  </w:style>
  <w:style w:type="character" w:customStyle="1" w:styleId="bold">
    <w:name w:val="bold"/>
    <w:basedOn w:val="Fuentedeprrafopredeter"/>
    <w:qFormat/>
    <w:rsid w:val="003E4B4F"/>
  </w:style>
  <w:style w:type="character" w:customStyle="1" w:styleId="autoreslistado">
    <w:name w:val="autoreslistado"/>
    <w:basedOn w:val="Fuentedeprrafopredeter"/>
    <w:qFormat/>
    <w:rsid w:val="003E4B4F"/>
  </w:style>
  <w:style w:type="character" w:customStyle="1" w:styleId="desccortalistado">
    <w:name w:val="desccortalistado"/>
    <w:basedOn w:val="Fuentedeprrafopredeter"/>
    <w:qFormat/>
    <w:rsid w:val="003E4B4F"/>
  </w:style>
  <w:style w:type="character" w:customStyle="1" w:styleId="st">
    <w:name w:val="st"/>
    <w:basedOn w:val="Fuentedeprrafopredeter"/>
    <w:qFormat/>
    <w:rsid w:val="003E4B4F"/>
  </w:style>
  <w:style w:type="character" w:customStyle="1" w:styleId="Destacado">
    <w:name w:val="Destacado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qFormat/>
    <w:rsid w:val="003E4B4F"/>
  </w:style>
  <w:style w:type="character" w:customStyle="1" w:styleId="TextodecuerpoCar">
    <w:name w:val="Texto de cuerpo Car"/>
    <w:basedOn w:val="Fuentedeprrafopredeter"/>
    <w:link w:val="Textoindependiente1"/>
    <w:qFormat/>
    <w:rsid w:val="003E4B4F"/>
    <w:rPr>
      <w:rFonts w:ascii="Times New Roman" w:eastAsia="Arial Unicode MS" w:hAnsi="Times New Roman" w:cs="Arial Unicode MS"/>
      <w:sz w:val="24"/>
      <w:szCs w:val="24"/>
      <w:lang w:eastAsia="hi-IN" w:bidi="hi-IN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TextonotapieCar">
    <w:name w:val="Texto nota pie Car"/>
    <w:basedOn w:val="Fuentedeprrafopredeter"/>
    <w:uiPriority w:val="99"/>
    <w:semiHidden/>
    <w:qFormat/>
    <w:rsid w:val="00200E58"/>
    <w:rPr>
      <w:color w:val="00000A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200E58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6">
    <w:name w:val="ListLabel 6"/>
    <w:qFormat/>
    <w:rPr>
      <w:rFonts w:eastAsia="Calibri"/>
      <w:color w:val="000000"/>
    </w:rPr>
  </w:style>
  <w:style w:type="character" w:customStyle="1" w:styleId="ListLabel7">
    <w:name w:val="ListLabel 7"/>
    <w:qFormat/>
    <w:rPr>
      <w:rFonts w:eastAsia="Calibri"/>
      <w:color w:val="000000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Normal"/>
    <w:pPr>
      <w:widowControl w:val="0"/>
    </w:pPr>
    <w:rPr>
      <w:rFonts w:cs="Arial"/>
      <w:szCs w:val="20"/>
      <w:lang w:eastAsia="en-U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independiente1">
    <w:name w:val="Texto independiente1"/>
    <w:basedOn w:val="Normal"/>
    <w:link w:val="TextodecuerpoCar"/>
    <w:qFormat/>
    <w:rsid w:val="003E4B4F"/>
    <w:pPr>
      <w:spacing w:after="120"/>
    </w:pPr>
    <w:rPr>
      <w:rFonts w:ascii="Times New Roman" w:eastAsia="Arial Unicode MS" w:hAnsi="Times New Roman" w:cs="Arial Unicode MS"/>
      <w:lang w:eastAsia="hi-IN" w:bidi="hi-IN"/>
    </w:rPr>
  </w:style>
  <w:style w:type="paragraph" w:styleId="Encabezado">
    <w:name w:val="header"/>
    <w:basedOn w:val="Normal"/>
    <w:link w:val="EncabezadoC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paragraph" w:customStyle="1" w:styleId="Encabezamiento">
    <w:name w:val="Encabezamiento"/>
    <w:basedOn w:val="Normal"/>
    <w:uiPriority w:val="99"/>
    <w:unhideWhenUsed/>
    <w:qFormat/>
    <w:rsid w:val="00EF79FB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F0272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qFormat/>
    <w:rsid w:val="003E4B4F"/>
    <w:pPr>
      <w:suppressAutoHyphens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qFormat/>
    <w:rsid w:val="003E4B4F"/>
    <w:pPr>
      <w:spacing w:beforeAutospacing="1" w:afterAutospacing="1"/>
    </w:pPr>
    <w:rPr>
      <w:rFonts w:ascii="Times New Roman" w:hAnsi="Times New Roman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notapie">
    <w:name w:val="footnote text"/>
    <w:basedOn w:val="Normal"/>
    <w:uiPriority w:val="99"/>
    <w:qFormat/>
  </w:style>
  <w:style w:type="table" w:styleId="Tablaconcuadrcula">
    <w:name w:val="Table Grid"/>
    <w:basedOn w:val="Tablanormal"/>
    <w:uiPriority w:val="39"/>
    <w:rsid w:val="009B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23A2E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58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errer@uchile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eibe@uchil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2G5zk+3r1LAgNwMoWFYeVXzzEg==">AMUW2mX5lJf6+j5VuUWw4Et5Our62J96hKnVyMWqM/v0o/76+pqNNa6JZsaXS9UD0+29bOx8WJPmDOMIoarXB460u+5kdeAq/W2BGg/4Mg24bqTcVnEvxeM=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8747</Characters>
  <Application>Microsoft Office Word</Application>
  <DocSecurity>0</DocSecurity>
  <Lines>72</Lines>
  <Paragraphs>20</Paragraphs>
  <ScaleCrop>false</ScaleCrop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CLAUDIO DUARTE</cp:lastModifiedBy>
  <cp:revision>2</cp:revision>
  <dcterms:created xsi:type="dcterms:W3CDTF">2021-07-15T15:11:00Z</dcterms:created>
  <dcterms:modified xsi:type="dcterms:W3CDTF">2021-07-15T15:11:00Z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www.intercambiosvirtuales.org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