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4.0" w:type="dxa"/>
        <w:jc w:val="center"/>
        <w:tblLayout w:type="fixed"/>
        <w:tblLook w:val="0000"/>
      </w:tblPr>
      <w:tblGrid>
        <w:gridCol w:w="3778"/>
        <w:gridCol w:w="190"/>
        <w:gridCol w:w="2102"/>
        <w:gridCol w:w="3174"/>
        <w:tblGridChange w:id="0">
          <w:tblGrid>
            <w:gridCol w:w="3778"/>
            <w:gridCol w:w="190"/>
            <w:gridCol w:w="2102"/>
            <w:gridCol w:w="3174"/>
          </w:tblGrid>
        </w:tblGridChange>
      </w:tblGrid>
      <w:tr>
        <w:trPr>
          <w:trHeight w:val="288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PROGRAMA DE CURSO / 1er SEMESTRE 2021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ind w:left="0"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 PEDAGOGÍA EN EDUCACIÓN PARVULARIA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1. Nombre de la actividad curricular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Práctica I: Aproximaciones al campo profesional</w:t>
            </w:r>
          </w:p>
        </w:tc>
      </w:tr>
      <w:tr>
        <w:trPr>
          <w:trHeight w:val="288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2. Nombre de la actividad curricular en inglés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Approaches to the professional field</w:t>
            </w:r>
          </w:p>
        </w:tc>
      </w:tr>
      <w:tr>
        <w:trPr>
          <w:trHeight w:val="288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3. Unidad Académica/organismo de la unidad académica que lo desarrolla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Departamento de Educación / Facultad de Ciencias Sociales</w:t>
            </w:r>
          </w:p>
        </w:tc>
      </w:tr>
      <w:tr>
        <w:trPr>
          <w:trHeight w:val="288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4. Ámbito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Atributos Personales Asociados al Desarrollo Profesional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5. Horas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No 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6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6. Tipo de 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SCT-CHILE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7. Número de créditos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6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8. 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No tiene requisitos</w:t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9. Propósito general del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0" w:hanging="2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Este curso corresponde a la primera experiencia de práctica, se propone desarrollar un proceso de reflexión situada sobre la naturaleza y factores que configuran el rol y la identidad profesional de la educadora de párvulos en contextos de actuación pedagógica con los niños, sus familias y comunidad educativa. </w:t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10. Competencias a las que contribuye el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0" w:hanging="2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Desarrollar autoconocimiento, la gestión de sí mismo/a y de los otros/as para su desarrollo profesional pleno, en el marco de la ética profesional.</w:t>
            </w:r>
          </w:p>
        </w:tc>
      </w:tr>
      <w:tr>
        <w:trPr>
          <w:trHeight w:val="411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0" w:hanging="2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11. Subcompetencias a las que contribuye el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V.1.1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0" w:hanging="2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Identificar las variables históricas y socioculturales que han influido en la configuración de su quehacer profesional para reconocer los patrones de comunicación con otros y de ejercicio de su profesión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ind w:left="0" w:hanging="2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V.1.2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0" w:hanging="2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Comunicar, por medio del lenguaje corporal y verbal, su ser y hacer a través de sus competencias comunicativas y emocionales, en escenarios de interacción con los agentes de su comunidad educativa</w:t>
            </w:r>
          </w:p>
        </w:tc>
      </w:tr>
      <w:tr>
        <w:trPr>
          <w:trHeight w:val="288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12. Resultados de Aprendizaje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4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0" w:hanging="2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1. Reconocer las variables que influyen en su identidad profesional a partir de su participación  activa  en contextos de trabajo  pedagógico  con niños, familia  y comunidad que le permitan  distinguir patrones comunicativos en el ejercicio de su profesión.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left="0" w:hanging="2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br w:type="textWrapping"/>
              <w:t xml:space="preserve">2.  Evaluar críticamente sus necesidades y potencialidades  a partir de la reflexión y análisis en contextos de acción pedagógica que ofrezcan oportunidades de  desarrollo profesional. </w:t>
            </w:r>
          </w:p>
        </w:tc>
      </w:tr>
      <w:tr>
        <w:trPr>
          <w:trHeight w:val="288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13. Saberes/contenidos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67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 Unidad I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br w:type="textWrapping"/>
              <w:t xml:space="preserve">• El rol y la identidad profesional de la educadora de párvulos en contextos de actuación pedagógica con los niños, niñas, sus familias y comunidad educativa.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• Relato autobiográfico de mi niñez, del ser educador o educadora de párvulos.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Narración Autobiográfica</w:t>
              <w:br w:type="textWrapping"/>
              <w:t xml:space="preserve">• Naturaleza narrativa del saber pedagógico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br w:type="textWrapping"/>
              <w:t xml:space="preserve">• Relatos autobiográficos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Variables en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 identidad profesional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Unidad II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br w:type="textWrapping"/>
              <w:t xml:space="preserve">• Configuración de la Identidad Profesional de la Educadora de Párvulos y en los contextos de actuación pedagógica: niños, niñas, familia y comunidad. (desde la experiencia). </w:t>
              <w:br w:type="textWrapping"/>
              <w:t xml:space="preserve">• 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Análisis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de las variables implicadas en la  construcción identitaria y el rescate de sus  iniciales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necesidades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 y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potencialidades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.</w:t>
            </w:r>
          </w:p>
        </w:tc>
      </w:tr>
      <w:tr>
        <w:trPr>
          <w:trHeight w:val="288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12. Metodología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59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Encuentros en diálogos colectivo  y en variados grupos durante las clases.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Ejercicios colectivos para el conocimiento y encuentro a nivel de grupo.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Observación participativa en centros educativos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por parte de los  y las estudiantes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Reflexión individual, entre pares y colectivo, en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trabajo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en duplas y en el desarrollo de talle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res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Elaboración de Relatos autobiográficos. 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Lectura y Análisis de textos.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Videos y  Video llamadas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Foros en plataforma u-cursos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Tutoría individual y grupal </w:t>
            </w:r>
          </w:p>
        </w:tc>
      </w:tr>
      <w:tr>
        <w:trPr>
          <w:trHeight w:val="288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13. Evaluación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7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a. Taller 1 de reflexión y análisis en grupos en duplas : 20% </w:t>
              <w:br w:type="textWrapping"/>
              <w:t xml:space="preserve">b. Taller 2 de reflexión y teorización  duplas : 30 % ,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Informe de su experiencia práctica relato a ser trabajado desde diversas expresiones: 40% . Se establecerán criterios de abordaje para su realización.</w:t>
              <w:br w:type="textWrapping"/>
              <w:t xml:space="preserve">c. Autoevaluación: 10 %</w:t>
            </w:r>
          </w:p>
        </w:tc>
      </w:tr>
      <w:tr>
        <w:trPr>
          <w:trHeight w:val="288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14. Requisitos de aprobación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2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Asistencia a talleres:  75%</w:t>
              <w:br w:type="textWrapping"/>
              <w:t xml:space="preserve">Asistencia  a centros de práctica : 100%</w:t>
            </w:r>
          </w:p>
        </w:tc>
      </w:tr>
      <w:tr>
        <w:trPr>
          <w:trHeight w:val="288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15. Palabras clave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4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Diálogo, narrativa, reflexión situada, identidad profesional </w:t>
            </w:r>
          </w:p>
        </w:tc>
      </w:tr>
      <w:tr>
        <w:trPr>
          <w:trHeight w:val="288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16. Bibliografía Obligatoria (no más de 5 textos)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7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1. Huberman, Michael (1998),“Trabajando con narrativas biográficas”, en McEwan, H. y Egan, K. (comp.), La narrativa en la enseñanza, el aprendizaje y la investigación. Buenos Aires: Amorrortu editores.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2.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Vergara, Maribel . (2014). La identidad de la educadora infantil. Elementos para su comprensión.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Pedagogía y Saberes, 2014(41), 111-120. Doi: 10.17227/01212494.41pys111.120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. Esteve, jm (2006) Identidad y desafíos de la condición docente en E. Tenti Fanfani (comp.), El oficio docente: vocación, trabajo y profesión en el siglo XX Buenos Aires. </w:t>
            </w:r>
            <w:hyperlink r:id="rId7">
              <w:r w:rsidDel="00000000" w:rsidR="00000000" w:rsidRPr="00000000">
                <w:rPr>
                  <w:rFonts w:ascii="Cambria" w:cs="Cambria" w:eastAsia="Cambria" w:hAnsi="Cambria"/>
                  <w:color w:val="0000ff"/>
                  <w:u w:val="single"/>
                  <w:rtl w:val="0"/>
                </w:rPr>
                <w:t xml:space="preserve">http://ocw.pucv.cl/cursos-1/epe1137/materiales-de-clases-1/unidad-1/documentos/idendidad-y-desafios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. Paulo Freire, Cartas a quien pretende enseñar, Siglo veintiuno editores.1994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. G.. Mistral. Apuntes  sobre el educar. en pág. wwb. ( más abajo en recurso web)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17. Bibliografía Complementaria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8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2. Saber Docente y Práctica Cotidiana,  Ana María Salgueiro. 2000. Ediciones Octaedro.</w:t>
              <w:br w:type="textWrapping"/>
              <w:t xml:space="preserve">3. El método biográfico. La reconstrucción de la sociedad a partir del testimonio de los actores. Ruth Sautu año: 1999.</w:t>
              <w:br w:type="textWrapping"/>
              <w:t xml:space="preserve">4. La narrativa en la enseñanza, el aprendizaje y la investigación. Hunter McEwan, Kieran Egan. 1998.</w:t>
              <w:br w:type="textWrapping"/>
              <w:t xml:space="preserve">5. H. y Egan, K. (comp.), La narrativa en la enseñanza, el aprendizaje y la investigación. Buenos Aires: Amorrortu editores.</w:t>
              <w:br w:type="textWrapping"/>
              <w:t xml:space="preserve">6. Huberman, Michael (1998), “Trabajando con narrativas biográficas”, en: McEwan, </w:t>
              <w:br w:type="textWrapping"/>
              <w:t xml:space="preserve">7. Gudmundsdottir, Sigrun (1998), “La naturaleza narrativa del saber pedagógico”, en McEwan, H. y Egan, K. (comp.), La narrativa en la enseñanza, el aprendizaje y la investigación. Buenos Aires: Amorrortu editores.</w:t>
              <w:br w:type="textWrapping"/>
              <w:t xml:space="preserve">8.  El método biográfico. La reconstrucción de la sociedad a partir del testimonio de los actores. Ruth Sautu año: 1999.</w:t>
              <w:br w:type="textWrapping"/>
              <w:t xml:space="preserve">9.  Liberman, Ann. Miller, Lynne (2003) “La indagación como base de la formación del profesorado y la mejora de la educación” Octaedro Editorial. España.</w:t>
              <w:br w:type="textWrapping"/>
              <w:t xml:space="preserve">10. Identidad, memoria y relato. La imposible narración de sí mismo. Régine Robin. 1996.</w:t>
              <w:br w:type="textWrapping"/>
              <w:t xml:space="preserve">11. Esteve, jm (2006) Identidad y desafíos de la condición docente en E. Tenti Fanfani(comp.), El oficio docente: vocación, trabajo y profesión en el siglo XX Buenos Aires.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12.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Ávalos, B. &amp; Sevilla, A. (2010). La construcción de la identidad profesional en los primeros años de docencia: evidencia desde la investigación. Manuscrito inédito, Centro de Investigación Avanzada en Educación, Universidad de Chile, Santiago de Chile.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13.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Bolívar, A. (2016). Reconstruir la identidad profesional docente en la sociedad del conocimiento. En J. Valle &amp; J. Manso (Eds.), La ‘cuestión docente’ a debate. Nuevas perspectivas (pp.15- 29). Madrid: Narcea.</w:t>
            </w:r>
          </w:p>
          <w:p w:rsidR="00000000" w:rsidDel="00000000" w:rsidP="00000000" w:rsidRDefault="00000000" w:rsidRPr="00000000" w14:paraId="000000A5">
            <w:pPr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18. Recursos web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2" w:hRule="atLeast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hyperlink r:id="rId8">
              <w:r w:rsidDel="00000000" w:rsidR="00000000" w:rsidRPr="00000000">
                <w:rPr>
                  <w:rFonts w:ascii="Cambria" w:cs="Cambria" w:eastAsia="Cambria" w:hAnsi="Cambria"/>
                  <w:color w:val="0000ff"/>
                  <w:u w:val="single"/>
                  <w:rtl w:val="0"/>
                </w:rPr>
                <w:t xml:space="preserve">www.mineduc.cl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hyperlink r:id="rId9">
              <w:r w:rsidDel="00000000" w:rsidR="00000000" w:rsidRPr="00000000">
                <w:rPr>
                  <w:rFonts w:ascii="Cambria" w:cs="Cambria" w:eastAsia="Cambria" w:hAnsi="Cambria"/>
                  <w:color w:val="0000ff"/>
                  <w:u w:val="single"/>
                  <w:rtl w:val="0"/>
                </w:rPr>
                <w:t xml:space="preserve">www.unicef.cl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ind w:left="0" w:hanging="2"/>
              <w:rPr>
                <w:rFonts w:ascii="Cambria" w:cs="Cambria" w:eastAsia="Cambria" w:hAnsi="Cambria"/>
              </w:rPr>
            </w:pPr>
            <w:hyperlink r:id="rId10">
              <w:r w:rsidDel="00000000" w:rsidR="00000000" w:rsidRPr="00000000">
                <w:rPr>
                  <w:rFonts w:ascii="Cambria" w:cs="Cambria" w:eastAsia="Cambria" w:hAnsi="Cambria"/>
                  <w:color w:val="0000ff"/>
                  <w:u w:val="single"/>
                  <w:rtl w:val="0"/>
                </w:rPr>
                <w:t xml:space="preserve">https://eligeeducar.cl/8-reflexiones-de-la-maestra-gabriela-mistral-sobre-lo-que-significa-educar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ind w:left="0" w:hanging="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1418" w:top="173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left="0" w:hanging="2"/>
      <w:rPr>
        <w:color w:val="000000"/>
      </w:rPr>
    </w:pPr>
    <w:r w:rsidDel="00000000" w:rsidR="00000000" w:rsidRPr="00000000">
      <w:rPr/>
      <w:drawing>
        <wp:inline distB="0" distT="0" distL="0" distR="0">
          <wp:extent cx="3209925" cy="962025"/>
          <wp:effectExtent b="0" l="0" r="0" t="0"/>
          <wp:docPr descr="Descripción: Descripción: Descripción: C:\Users\Usuario\AppData\Local\Microsoft\Windows\Temporary Internet Files\Content.Outlook\Z1RUSQ0A\logo_CS_educacion.jpg" id="2" name="image1.jpg"/>
          <a:graphic>
            <a:graphicData uri="http://schemas.openxmlformats.org/drawingml/2006/picture">
              <pic:pic>
                <pic:nvPicPr>
                  <pic:cNvPr descr="Descripción: Descripción: Descripción: C:\Users\Usuario\AppData\Local\Microsoft\Windows\Temporary Internet Files\Content.Outlook\Z1RUSQ0A\logo_CS_educaci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09925" cy="962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uadrculamedia1-nfasis21" w:customStyle="1">
    <w:name w:val="Cuadrícula media 1 - Énfasis 21"/>
    <w:basedOn w:val="Normal"/>
    <w:pPr>
      <w:ind w:left="720"/>
      <w:contextualSpacing w:val="1"/>
    </w:pPr>
  </w:style>
  <w:style w:type="character" w:styleId="Hipervnculo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 w:val="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 w:val="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66CB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66CB6"/>
    <w:rPr>
      <w:rFonts w:ascii="Tahoma" w:cs="Tahoma" w:hAnsi="Tahoma"/>
      <w:position w:val="-1"/>
      <w:sz w:val="16"/>
      <w:szCs w:val="16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eligeeducar.cl/8-reflexiones-de-la-maestra-gabriela-mistral-sobre-lo-que-significa-educar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nicef.cl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ocw.pucv.cl/cursos-1/epe1137/materiales-de-clases-1/unidad-1/documentos/idendidad-y-desafios" TargetMode="External"/><Relationship Id="rId8" Type="http://schemas.openxmlformats.org/officeDocument/2006/relationships/hyperlink" Target="http://www.mineduc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6A3SKyHbze5GzkR7zIdWoLfDpA==">AMUW2mWxtr9WsvpzpMtP159Kl9hDU6RWI3wGf3vK32yEQV6N3zvj62mm09WgFMQyCq54wV9s08OB/qAN6IZuRWQ0vbCCL4MmGMSXPz6VgY8yEjdVL1Qi1w8=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2020-03-18T04:37:00Z</dcterms:created>
  <dc:creator>Patricio</dc:creator>
</cp:coreProperties>
</file>