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F85C" w14:textId="77777777" w:rsidR="000D2967" w:rsidRDefault="000D2967">
      <w:pPr>
        <w:pStyle w:val="Default"/>
        <w:jc w:val="both"/>
        <w:rPr>
          <w:sz w:val="22"/>
          <w:szCs w:val="22"/>
        </w:rPr>
      </w:pPr>
    </w:p>
    <w:p w14:paraId="2EC98FA7" w14:textId="77777777" w:rsidR="000D2967" w:rsidRDefault="00B14EAD">
      <w:pPr>
        <w:jc w:val="center"/>
        <w:rPr>
          <w:rFonts w:cs="Calibri"/>
          <w:b/>
        </w:rPr>
      </w:pPr>
      <w:r>
        <w:rPr>
          <w:rFonts w:cs="Calibri"/>
          <w:b/>
        </w:rPr>
        <w:t>FORMATO DE PLANIFICACIÓN DE CURSO</w:t>
      </w:r>
    </w:p>
    <w:p w14:paraId="0598D649" w14:textId="77777777" w:rsidR="000D2967" w:rsidRDefault="00B14EAD">
      <w:pPr>
        <w:pStyle w:val="Prrafodelista"/>
        <w:numPr>
          <w:ilvl w:val="0"/>
          <w:numId w:val="2"/>
        </w:numPr>
        <w:jc w:val="both"/>
        <w:rPr>
          <w:rFonts w:cs="Calibri"/>
          <w:b/>
        </w:rPr>
      </w:pPr>
      <w:r>
        <w:rPr>
          <w:rFonts w:cs="Calibri"/>
          <w:b/>
        </w:rPr>
        <w:t>DATOS GENERALES DEL CURSO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88" w:type="dxa"/>
        </w:tblCellMar>
        <w:tblLook w:val="0000" w:firstRow="0" w:lastRow="0" w:firstColumn="0" w:lastColumn="0" w:noHBand="0" w:noVBand="0"/>
      </w:tblPr>
      <w:tblGrid>
        <w:gridCol w:w="9139"/>
        <w:gridCol w:w="4061"/>
      </w:tblGrid>
      <w:tr w:rsidR="000D2967" w14:paraId="3D9484A4" w14:textId="77777777">
        <w:trPr>
          <w:trHeight w:val="308"/>
        </w:trPr>
        <w:tc>
          <w:tcPr>
            <w:tcW w:w="9003" w:type="dxa"/>
            <w:tcBorders>
              <w:top w:val="single" w:sz="8" w:space="0" w:color="000000"/>
              <w:left w:val="single" w:sz="8" w:space="0" w:color="000000"/>
              <w:bottom w:val="single" w:sz="8" w:space="0" w:color="000000"/>
              <w:right w:val="single" w:sz="8" w:space="0" w:color="000000"/>
            </w:tcBorders>
            <w:shd w:val="clear" w:color="auto" w:fill="auto"/>
          </w:tcPr>
          <w:p w14:paraId="53614F1D" w14:textId="77777777" w:rsidR="000D2967" w:rsidRDefault="00B14EAD">
            <w:pPr>
              <w:spacing w:after="0" w:line="252" w:lineRule="auto"/>
              <w:jc w:val="both"/>
            </w:pPr>
            <w:r>
              <w:rPr>
                <w:rFonts w:cs="Calibri"/>
                <w:b/>
                <w:bCs/>
                <w:color w:val="000000"/>
                <w:kern w:val="2"/>
                <w:lang w:eastAsia="es-CL"/>
              </w:rPr>
              <w:t>Nombre del curso:</w:t>
            </w:r>
            <w:r>
              <w:rPr>
                <w:rFonts w:cs="Calibri"/>
              </w:rPr>
              <w:t xml:space="preserve"> </w:t>
            </w:r>
            <w:r>
              <w:rPr>
                <w:rFonts w:cs="Calibri"/>
                <w:b/>
                <w:bCs/>
                <w:color w:val="000000"/>
                <w:kern w:val="2"/>
                <w:lang w:eastAsia="es-CL"/>
              </w:rPr>
              <w:t>HISTORIA SOCIAL CONTEMPORÁNEA</w:t>
            </w:r>
          </w:p>
        </w:tc>
        <w:tc>
          <w:tcPr>
            <w:tcW w:w="4000" w:type="dxa"/>
            <w:tcBorders>
              <w:top w:val="single" w:sz="8" w:space="0" w:color="000000"/>
              <w:left w:val="single" w:sz="8" w:space="0" w:color="000000"/>
              <w:bottom w:val="single" w:sz="8" w:space="0" w:color="000000"/>
              <w:right w:val="single" w:sz="8" w:space="0" w:color="000000"/>
            </w:tcBorders>
            <w:shd w:val="clear" w:color="auto" w:fill="auto"/>
          </w:tcPr>
          <w:p w14:paraId="5724E5E6"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t>Código del curso:</w:t>
            </w:r>
          </w:p>
        </w:tc>
      </w:tr>
      <w:tr w:rsidR="000D2967" w14:paraId="024EE7E6" w14:textId="77777777">
        <w:trPr>
          <w:trHeight w:val="308"/>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05B16A7D" w14:textId="2F8CA292" w:rsidR="000D2967" w:rsidRDefault="00B14EAD">
            <w:pPr>
              <w:spacing w:after="0" w:line="252" w:lineRule="auto"/>
              <w:jc w:val="both"/>
            </w:pPr>
            <w:r>
              <w:rPr>
                <w:rFonts w:cs="Calibri"/>
                <w:b/>
                <w:bCs/>
                <w:color w:val="000000"/>
                <w:kern w:val="2"/>
                <w:lang w:eastAsia="es-CL"/>
              </w:rPr>
              <w:t xml:space="preserve">Profesor: </w:t>
            </w:r>
            <w:r>
              <w:rPr>
                <w:rFonts w:cs="Calibri"/>
                <w:b/>
                <w:bCs/>
                <w:lang w:val="es-ES"/>
              </w:rPr>
              <w:t xml:space="preserve"> </w:t>
            </w:r>
            <w:r>
              <w:rPr>
                <w:rFonts w:eastAsia="Times New Roman" w:cs="Calibri"/>
                <w:b/>
                <w:bCs/>
                <w:sz w:val="24"/>
                <w:szCs w:val="24"/>
                <w:lang w:val="es-ES" w:eastAsia="es-CL"/>
              </w:rPr>
              <w:t>Daniel Fauré</w:t>
            </w:r>
            <w:r w:rsidR="007B1A5D">
              <w:rPr>
                <w:rFonts w:eastAsia="Times New Roman" w:cs="Calibri"/>
                <w:b/>
                <w:bCs/>
                <w:sz w:val="24"/>
                <w:szCs w:val="24"/>
                <w:lang w:val="es-ES" w:eastAsia="es-CL"/>
              </w:rPr>
              <w:t xml:space="preserve"> Polloni</w:t>
            </w:r>
          </w:p>
        </w:tc>
      </w:tr>
      <w:tr w:rsidR="000D2967" w14:paraId="76C93488" w14:textId="77777777">
        <w:trPr>
          <w:trHeight w:val="925"/>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282315A8"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t>Descripción general del curso:</w:t>
            </w:r>
          </w:p>
          <w:p w14:paraId="6502A33A" w14:textId="77777777" w:rsidR="000D2967" w:rsidRDefault="000D2967">
            <w:pPr>
              <w:spacing w:after="0" w:line="252" w:lineRule="auto"/>
              <w:jc w:val="both"/>
              <w:rPr>
                <w:rFonts w:cs="Calibri"/>
                <w:b/>
                <w:bCs/>
                <w:color w:val="000000"/>
                <w:kern w:val="2"/>
                <w:lang w:eastAsia="es-CL"/>
              </w:rPr>
            </w:pPr>
          </w:p>
          <w:p w14:paraId="313CC6B5" w14:textId="2384A366" w:rsidR="000D2967" w:rsidRDefault="00B14EAD">
            <w:pPr>
              <w:spacing w:after="0" w:line="252" w:lineRule="auto"/>
              <w:jc w:val="both"/>
              <w:rPr>
                <w:rFonts w:cs="Arial"/>
                <w:color w:val="000000"/>
                <w:kern w:val="2"/>
                <w:lang w:val="es-MX" w:eastAsia="es-CL"/>
              </w:rPr>
            </w:pPr>
            <w:r>
              <w:rPr>
                <w:rFonts w:cs="Arial"/>
                <w:color w:val="000000"/>
                <w:kern w:val="2"/>
                <w:lang w:val="es-MX" w:eastAsia="es-CL"/>
              </w:rPr>
              <w:t>El curso examina la historia moderna y contemporánea a un nivel global (aunque con especial énfasis en el diálogo y las tensiones entre Europa y América Latina) buscando revisar de manera crítica y fundamentada los principales procesos económicos, político</w:t>
            </w:r>
            <w:r>
              <w:rPr>
                <w:rFonts w:cs="Arial"/>
                <w:color w:val="000000"/>
                <w:kern w:val="2"/>
                <w:lang w:val="es-MX" w:eastAsia="es-CL"/>
              </w:rPr>
              <w:t xml:space="preserve">s y socioculturales que moldean nuestra sociedad actual, buscando insertar a los estudiantes en una propuesta de Trabajo </w:t>
            </w:r>
            <w:r w:rsidR="007B1A5D">
              <w:rPr>
                <w:rFonts w:cs="Arial"/>
                <w:color w:val="000000"/>
                <w:kern w:val="2"/>
                <w:lang w:val="es-MX" w:eastAsia="es-CL"/>
              </w:rPr>
              <w:t>Social contextualizada</w:t>
            </w:r>
            <w:r>
              <w:rPr>
                <w:rFonts w:cs="Arial"/>
                <w:color w:val="000000"/>
                <w:kern w:val="2"/>
                <w:lang w:val="es-MX" w:eastAsia="es-CL"/>
              </w:rPr>
              <w:t xml:space="preserve"> a las problemáticas históricas emergentes y las que aún persisten. </w:t>
            </w:r>
          </w:p>
          <w:p w14:paraId="039FD10B" w14:textId="77777777" w:rsidR="000D2967" w:rsidRDefault="000D2967">
            <w:pPr>
              <w:spacing w:after="0" w:line="252" w:lineRule="auto"/>
              <w:jc w:val="both"/>
              <w:rPr>
                <w:rFonts w:cs="Arial"/>
                <w:color w:val="000000"/>
                <w:kern w:val="2"/>
                <w:lang w:val="es-MX" w:eastAsia="es-CL"/>
              </w:rPr>
            </w:pPr>
          </w:p>
          <w:p w14:paraId="25234AD2" w14:textId="77777777" w:rsidR="000D2967" w:rsidRDefault="00B14EAD">
            <w:pPr>
              <w:spacing w:after="0" w:line="252" w:lineRule="auto"/>
              <w:jc w:val="both"/>
              <w:rPr>
                <w:rFonts w:cs="Arial"/>
                <w:color w:val="000000"/>
                <w:kern w:val="2"/>
                <w:lang w:val="es-MX" w:eastAsia="es-CL"/>
              </w:rPr>
            </w:pPr>
            <w:r>
              <w:rPr>
                <w:rFonts w:cs="Arial"/>
                <w:color w:val="000000"/>
                <w:kern w:val="2"/>
                <w:lang w:val="es-MX" w:eastAsia="es-CL"/>
              </w:rPr>
              <w:t>Para ello, se busca analizar y problematiz</w:t>
            </w:r>
            <w:r>
              <w:rPr>
                <w:rFonts w:cs="Arial"/>
                <w:color w:val="000000"/>
                <w:kern w:val="2"/>
                <w:lang w:val="es-MX" w:eastAsia="es-CL"/>
              </w:rPr>
              <w:t xml:space="preserve">ar las principales matrices teóricas de las ciencias sociales, en general, y de la historiografía en particular, utilizadas para conocer y comprender el pasado histórico y, con ello, el presente, a nivel global y regional. Junto con ello, se busca que </w:t>
            </w:r>
            <w:proofErr w:type="spellStart"/>
            <w:r>
              <w:rPr>
                <w:rFonts w:cs="Arial"/>
                <w:color w:val="000000"/>
                <w:kern w:val="2"/>
                <w:lang w:val="es-MX" w:eastAsia="es-CL"/>
              </w:rPr>
              <w:t>el</w:t>
            </w:r>
            <w:proofErr w:type="spellEnd"/>
            <w:r>
              <w:rPr>
                <w:rFonts w:cs="Arial"/>
                <w:color w:val="000000"/>
                <w:kern w:val="2"/>
                <w:lang w:val="es-MX" w:eastAsia="es-CL"/>
              </w:rPr>
              <w:t xml:space="preserve"> o</w:t>
            </w:r>
            <w:r>
              <w:rPr>
                <w:rFonts w:cs="Arial"/>
                <w:color w:val="000000"/>
                <w:kern w:val="2"/>
                <w:lang w:val="es-MX" w:eastAsia="es-CL"/>
              </w:rPr>
              <w:t xml:space="preserve"> la estudiante puedan aplicar dichas matrices teóricas a determinados procesos históricos, desarrollando una argumentación adecuada y generando procesos de diálogo y trabajo en equipo.</w:t>
            </w:r>
          </w:p>
          <w:p w14:paraId="55FA1A21" w14:textId="77777777" w:rsidR="000D2967" w:rsidRDefault="000D2967">
            <w:pPr>
              <w:spacing w:after="0" w:line="252" w:lineRule="auto"/>
              <w:jc w:val="both"/>
              <w:rPr>
                <w:rFonts w:eastAsia="Times New Roman" w:cs="Calibri"/>
                <w:lang w:eastAsia="es-CL"/>
              </w:rPr>
            </w:pPr>
          </w:p>
        </w:tc>
      </w:tr>
      <w:tr w:rsidR="000D2967" w14:paraId="3D7AAA01" w14:textId="77777777">
        <w:trPr>
          <w:trHeight w:val="925"/>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1FF14FBA"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t>Competencias a las que contribuye el curso</w:t>
            </w:r>
          </w:p>
          <w:p w14:paraId="078C520A" w14:textId="77777777" w:rsidR="000D2967" w:rsidRDefault="000D2967">
            <w:pPr>
              <w:spacing w:after="0" w:line="252" w:lineRule="auto"/>
              <w:jc w:val="both"/>
              <w:rPr>
                <w:rFonts w:cs="Calibri"/>
                <w:bCs/>
                <w:color w:val="000000"/>
                <w:kern w:val="2"/>
                <w:lang w:eastAsia="es-CL"/>
              </w:rPr>
            </w:pPr>
          </w:p>
          <w:p w14:paraId="2D33F757" w14:textId="77777777" w:rsidR="000D2967" w:rsidRDefault="00B14EAD">
            <w:pPr>
              <w:spacing w:after="0" w:line="252" w:lineRule="auto"/>
              <w:jc w:val="both"/>
              <w:rPr>
                <w:rFonts w:cs="Calibri"/>
                <w:bCs/>
                <w:color w:val="000000"/>
                <w:kern w:val="2"/>
                <w:lang w:eastAsia="es-CL"/>
              </w:rPr>
            </w:pPr>
            <w:r>
              <w:rPr>
                <w:rFonts w:cs="Calibri"/>
                <w:bCs/>
                <w:color w:val="000000"/>
                <w:kern w:val="2"/>
                <w:lang w:eastAsia="es-CL"/>
              </w:rPr>
              <w:t xml:space="preserve">1. Conocer y </w:t>
            </w:r>
            <w:r>
              <w:rPr>
                <w:rFonts w:cs="Calibri"/>
                <w:bCs/>
                <w:color w:val="000000"/>
                <w:kern w:val="2"/>
                <w:lang w:eastAsia="es-CL"/>
              </w:rPr>
              <w:t>analizar las grandes matrices teóricas en que se insertan las conceptualizaciones en Trabajo Social.</w:t>
            </w:r>
          </w:p>
          <w:p w14:paraId="3DA496CD" w14:textId="5590C57E" w:rsidR="000D2967" w:rsidRDefault="00B14EAD">
            <w:pPr>
              <w:spacing w:after="0" w:line="252" w:lineRule="auto"/>
              <w:jc w:val="both"/>
              <w:rPr>
                <w:rFonts w:cs="Calibri"/>
                <w:bCs/>
                <w:color w:val="000000"/>
                <w:kern w:val="2"/>
                <w:lang w:eastAsia="es-CL"/>
              </w:rPr>
            </w:pPr>
            <w:r>
              <w:rPr>
                <w:rFonts w:cs="Calibri"/>
                <w:bCs/>
                <w:color w:val="000000"/>
                <w:kern w:val="2"/>
                <w:lang w:eastAsia="es-CL"/>
              </w:rPr>
              <w:t xml:space="preserve">1.1 Analizar algunas de </w:t>
            </w:r>
            <w:r w:rsidR="008E4485">
              <w:rPr>
                <w:rFonts w:cs="Calibri"/>
                <w:bCs/>
                <w:color w:val="000000"/>
                <w:kern w:val="2"/>
                <w:lang w:eastAsia="es-CL"/>
              </w:rPr>
              <w:t>las principales</w:t>
            </w:r>
            <w:r>
              <w:rPr>
                <w:rFonts w:cs="Calibri"/>
                <w:bCs/>
                <w:color w:val="000000"/>
                <w:kern w:val="2"/>
                <w:lang w:eastAsia="es-CL"/>
              </w:rPr>
              <w:t xml:space="preserve"> teorías generales de la sociedad</w:t>
            </w:r>
          </w:p>
          <w:p w14:paraId="6E3A1A46" w14:textId="77777777" w:rsidR="000D2967" w:rsidRDefault="00B14EAD">
            <w:pPr>
              <w:spacing w:after="0" w:line="252" w:lineRule="auto"/>
              <w:jc w:val="both"/>
              <w:rPr>
                <w:rFonts w:cs="Calibri"/>
                <w:bCs/>
                <w:color w:val="000000"/>
                <w:kern w:val="2"/>
                <w:lang w:eastAsia="es-CL"/>
              </w:rPr>
            </w:pPr>
            <w:r>
              <w:rPr>
                <w:rFonts w:cs="Calibri"/>
                <w:bCs/>
                <w:color w:val="000000"/>
                <w:kern w:val="2"/>
                <w:lang w:eastAsia="es-CL"/>
              </w:rPr>
              <w:t>1.3 Analizar algunas teorías fundantes en el ámbito de las humanidades</w:t>
            </w:r>
          </w:p>
          <w:p w14:paraId="460EED89" w14:textId="77777777" w:rsidR="000D2967" w:rsidRDefault="00B14EAD">
            <w:pPr>
              <w:spacing w:after="0" w:line="252" w:lineRule="auto"/>
              <w:jc w:val="both"/>
              <w:rPr>
                <w:rFonts w:cs="Calibri"/>
                <w:bCs/>
                <w:color w:val="000000"/>
                <w:kern w:val="2"/>
                <w:lang w:eastAsia="es-CL"/>
              </w:rPr>
            </w:pPr>
            <w:r>
              <w:rPr>
                <w:rFonts w:cs="Calibri"/>
                <w:bCs/>
                <w:color w:val="000000"/>
                <w:kern w:val="2"/>
                <w:lang w:eastAsia="es-CL"/>
              </w:rPr>
              <w:t xml:space="preserve">1.4 </w:t>
            </w:r>
            <w:r>
              <w:rPr>
                <w:rFonts w:cs="Calibri"/>
                <w:bCs/>
                <w:color w:val="000000"/>
                <w:kern w:val="2"/>
                <w:lang w:eastAsia="es-CL"/>
              </w:rPr>
              <w:t>Analizar las grandes matrices conceptuales en que se desarrolla el Trabajo Social contemporáneo</w:t>
            </w:r>
          </w:p>
          <w:p w14:paraId="45BB6F38" w14:textId="77777777" w:rsidR="000D2967" w:rsidRDefault="000D2967">
            <w:pPr>
              <w:spacing w:after="0" w:line="252" w:lineRule="auto"/>
              <w:jc w:val="both"/>
            </w:pPr>
          </w:p>
          <w:p w14:paraId="42A69800" w14:textId="77777777" w:rsidR="000D2967" w:rsidRDefault="00B14EAD">
            <w:pPr>
              <w:spacing w:after="0" w:line="252" w:lineRule="auto"/>
              <w:jc w:val="both"/>
              <w:rPr>
                <w:rFonts w:cs="Calibri"/>
                <w:bCs/>
                <w:color w:val="000000"/>
                <w:kern w:val="2"/>
                <w:lang w:eastAsia="es-CL"/>
              </w:rPr>
            </w:pPr>
            <w:r>
              <w:rPr>
                <w:rFonts w:cs="Calibri"/>
                <w:bCs/>
                <w:color w:val="000000"/>
                <w:kern w:val="2"/>
                <w:lang w:eastAsia="es-CL"/>
              </w:rPr>
              <w:t>3. Realizar intervenciones sociales de calidad desde un enfoque crítico y reflexivo</w:t>
            </w:r>
          </w:p>
          <w:p w14:paraId="4EB84BF8" w14:textId="53946952" w:rsidR="000D2967" w:rsidRDefault="00B14EAD">
            <w:pPr>
              <w:spacing w:after="0" w:line="252" w:lineRule="auto"/>
              <w:jc w:val="both"/>
            </w:pPr>
            <w:r>
              <w:rPr>
                <w:rFonts w:cs="Calibri"/>
                <w:bCs/>
                <w:color w:val="000000"/>
                <w:kern w:val="2"/>
                <w:lang w:eastAsia="es-CL"/>
              </w:rPr>
              <w:t>3.3 Situar históricamente la intervención reconociendo la condición cambian</w:t>
            </w:r>
            <w:r>
              <w:rPr>
                <w:rFonts w:cs="Calibri"/>
                <w:bCs/>
                <w:color w:val="000000"/>
                <w:kern w:val="2"/>
                <w:lang w:eastAsia="es-CL"/>
              </w:rPr>
              <w:t>te de lo social y tomando decisiones pertinentes a ello.</w:t>
            </w:r>
          </w:p>
          <w:p w14:paraId="0F474DA7" w14:textId="77777777" w:rsidR="000D2967" w:rsidRDefault="000D2967">
            <w:pPr>
              <w:spacing w:after="0" w:line="252" w:lineRule="auto"/>
              <w:jc w:val="both"/>
              <w:rPr>
                <w:rFonts w:cs="Calibri"/>
                <w:b/>
                <w:bCs/>
                <w:color w:val="000000"/>
                <w:kern w:val="2"/>
                <w:lang w:eastAsia="es-CL"/>
              </w:rPr>
            </w:pPr>
          </w:p>
        </w:tc>
      </w:tr>
      <w:tr w:rsidR="000D2967" w14:paraId="45F4235C" w14:textId="77777777">
        <w:trPr>
          <w:trHeight w:val="925"/>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25D8B3E5"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lastRenderedPageBreak/>
              <w:t>Resultado de aprendizaje general para el curso:</w:t>
            </w:r>
          </w:p>
          <w:p w14:paraId="057A0F45" w14:textId="77777777" w:rsidR="000D2967" w:rsidRDefault="000D2967">
            <w:pPr>
              <w:spacing w:after="0" w:line="252" w:lineRule="auto"/>
              <w:jc w:val="both"/>
              <w:rPr>
                <w:rFonts w:eastAsia="Times New Roman" w:cs="Calibri"/>
                <w:lang w:eastAsia="es-CL"/>
              </w:rPr>
            </w:pPr>
          </w:p>
          <w:p w14:paraId="36A86A96" w14:textId="77777777" w:rsidR="000D2967" w:rsidRDefault="00B14EAD">
            <w:pPr>
              <w:pStyle w:val="Prrafodelista"/>
              <w:numPr>
                <w:ilvl w:val="0"/>
                <w:numId w:val="3"/>
              </w:numPr>
              <w:spacing w:after="0"/>
              <w:jc w:val="both"/>
              <w:rPr>
                <w:rFonts w:eastAsia="Times New Roman" w:cs="Calibri"/>
                <w:lang w:eastAsia="es-CL"/>
              </w:rPr>
            </w:pPr>
            <w:r>
              <w:rPr>
                <w:rFonts w:eastAsia="Times New Roman" w:cs="Calibri"/>
                <w:lang w:eastAsia="es-CL"/>
              </w:rPr>
              <w:t xml:space="preserve">Reconoce los principales problemas históricos que moldean nuestra sociedad actual, identificando la manera en que influyen en el quehacer del </w:t>
            </w:r>
            <w:r>
              <w:rPr>
                <w:rFonts w:eastAsia="Times New Roman" w:cs="Calibri"/>
                <w:lang w:eastAsia="es-CL"/>
              </w:rPr>
              <w:t>trabajador y trabajadora social.</w:t>
            </w:r>
          </w:p>
          <w:p w14:paraId="760DCFE2" w14:textId="77777777" w:rsidR="000D2967" w:rsidRDefault="00B14EAD">
            <w:pPr>
              <w:pStyle w:val="Prrafodelista"/>
              <w:numPr>
                <w:ilvl w:val="0"/>
                <w:numId w:val="3"/>
              </w:numPr>
              <w:spacing w:after="0"/>
              <w:jc w:val="both"/>
              <w:rPr>
                <w:rFonts w:eastAsia="Times New Roman" w:cs="Calibri"/>
                <w:lang w:eastAsia="es-CL"/>
              </w:rPr>
            </w:pPr>
            <w:r>
              <w:rPr>
                <w:rFonts w:eastAsia="Times New Roman" w:cs="Calibri"/>
                <w:lang w:eastAsia="es-CL"/>
              </w:rPr>
              <w:t>Infiere hipótesis que explican los procesos históricos a nivel global y regional, analizando su pertinencia para explicar el contexto actual en los ámbitos de su futura acción profesional.</w:t>
            </w:r>
          </w:p>
          <w:p w14:paraId="0AED17AD" w14:textId="77777777" w:rsidR="000D2967" w:rsidRDefault="00B14EAD">
            <w:pPr>
              <w:pStyle w:val="Prrafodelista"/>
              <w:numPr>
                <w:ilvl w:val="0"/>
                <w:numId w:val="3"/>
              </w:numPr>
              <w:spacing w:after="0"/>
              <w:jc w:val="both"/>
              <w:rPr>
                <w:rFonts w:eastAsia="Times New Roman" w:cs="Calibri"/>
                <w:lang w:eastAsia="es-CL"/>
              </w:rPr>
            </w:pPr>
            <w:r>
              <w:rPr>
                <w:rFonts w:eastAsia="Times New Roman" w:cs="Calibri"/>
                <w:lang w:eastAsia="es-CL"/>
              </w:rPr>
              <w:t>Identifica, define y clasifica div</w:t>
            </w:r>
            <w:r>
              <w:rPr>
                <w:rFonts w:eastAsia="Times New Roman" w:cs="Calibri"/>
                <w:lang w:eastAsia="es-CL"/>
              </w:rPr>
              <w:t>ersas categorías conceptuales que son utilizadas por las ciencias sociales, en general, y la historiografía, en particular para analizar la historia contemporánea a nivel global y regional.</w:t>
            </w:r>
          </w:p>
          <w:p w14:paraId="44B20404" w14:textId="77777777" w:rsidR="000D2967" w:rsidRDefault="00B14EAD">
            <w:pPr>
              <w:pStyle w:val="Prrafodelista"/>
              <w:numPr>
                <w:ilvl w:val="0"/>
                <w:numId w:val="3"/>
              </w:numPr>
              <w:spacing w:after="0"/>
              <w:jc w:val="both"/>
            </w:pPr>
            <w:r>
              <w:rPr>
                <w:rFonts w:eastAsia="Times New Roman" w:cs="Calibri"/>
                <w:lang w:eastAsia="es-CL"/>
              </w:rPr>
              <w:t>Aplica</w:t>
            </w:r>
            <w:r>
              <w:rPr>
                <w:rFonts w:cs="Arial"/>
                <w:color w:val="000000"/>
                <w:kern w:val="2"/>
                <w:lang w:val="es-MX" w:eastAsia="es-CL"/>
              </w:rPr>
              <w:t xml:space="preserve"> categorías conceptuales a determinados procesos históricos,</w:t>
            </w:r>
            <w:r>
              <w:rPr>
                <w:rFonts w:cs="Arial"/>
                <w:color w:val="000000"/>
                <w:kern w:val="2"/>
                <w:lang w:val="es-MX" w:eastAsia="es-CL"/>
              </w:rPr>
              <w:t xml:space="preserve"> desarrollando una argumentación adecuada y generando procesos de diálogo y trabajo en equipo.</w:t>
            </w:r>
          </w:p>
          <w:p w14:paraId="7C50E1D2" w14:textId="77777777" w:rsidR="000D2967" w:rsidRDefault="000D2967">
            <w:pPr>
              <w:spacing w:after="0" w:line="252" w:lineRule="auto"/>
              <w:jc w:val="both"/>
              <w:rPr>
                <w:rFonts w:eastAsia="Times New Roman" w:cs="Calibri"/>
                <w:lang w:eastAsia="es-CL"/>
              </w:rPr>
            </w:pPr>
          </w:p>
        </w:tc>
      </w:tr>
      <w:tr w:rsidR="000D2967" w14:paraId="006ED889" w14:textId="77777777">
        <w:trPr>
          <w:trHeight w:val="925"/>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41FD53D1"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t>Estrategia general de enseñanza:</w:t>
            </w:r>
          </w:p>
          <w:p w14:paraId="2E855923" w14:textId="77777777" w:rsidR="000D2967" w:rsidRDefault="000D2967">
            <w:pPr>
              <w:spacing w:after="0" w:line="252" w:lineRule="auto"/>
              <w:jc w:val="both"/>
              <w:rPr>
                <w:rFonts w:eastAsia="Times New Roman" w:cs="Calibri"/>
                <w:lang w:eastAsia="es-CL"/>
              </w:rPr>
            </w:pPr>
          </w:p>
          <w:p w14:paraId="4CB94FE2" w14:textId="77777777" w:rsidR="000D2967" w:rsidRDefault="00B14EAD">
            <w:pPr>
              <w:spacing w:after="0" w:line="252" w:lineRule="auto"/>
              <w:jc w:val="both"/>
              <w:rPr>
                <w:rFonts w:eastAsia="Times New Roman" w:cs="Calibri"/>
                <w:lang w:eastAsia="es-CL"/>
              </w:rPr>
            </w:pPr>
            <w:r>
              <w:rPr>
                <w:rFonts w:eastAsia="Times New Roman" w:cs="Calibri"/>
                <w:lang w:eastAsia="es-CL"/>
              </w:rPr>
              <w:t xml:space="preserve">En relación a las unidades del curso, contamos con las siguientes: </w:t>
            </w:r>
          </w:p>
          <w:p w14:paraId="7C3A6578" w14:textId="77777777" w:rsidR="000D2967" w:rsidRDefault="00B14EAD">
            <w:pPr>
              <w:spacing w:after="0" w:line="252" w:lineRule="auto"/>
              <w:jc w:val="both"/>
              <w:rPr>
                <w:rFonts w:eastAsia="Times New Roman" w:cs="Arial"/>
                <w:color w:val="000000"/>
                <w:lang w:val="es-ES" w:eastAsia="es-CL"/>
              </w:rPr>
            </w:pPr>
            <w:r>
              <w:rPr>
                <w:rFonts w:eastAsia="Times New Roman" w:cs="Arial"/>
                <w:color w:val="000000"/>
                <w:lang w:val="es-ES" w:eastAsia="es-CL"/>
              </w:rPr>
              <w:t>1. La propuesta de la Historia Social</w:t>
            </w:r>
          </w:p>
          <w:p w14:paraId="67539AA9" w14:textId="77777777" w:rsidR="000D2967" w:rsidRDefault="00B14EAD">
            <w:pPr>
              <w:spacing w:after="0" w:line="252" w:lineRule="auto"/>
              <w:jc w:val="both"/>
              <w:rPr>
                <w:rFonts w:cs="Arial"/>
                <w:color w:val="000000"/>
                <w:lang w:val="es-ES"/>
              </w:rPr>
            </w:pPr>
            <w:r>
              <w:rPr>
                <w:rFonts w:cs="Arial"/>
                <w:color w:val="000000"/>
                <w:lang w:val="es-ES"/>
              </w:rPr>
              <w:t xml:space="preserve">- La </w:t>
            </w:r>
            <w:r>
              <w:rPr>
                <w:rFonts w:cs="Arial"/>
                <w:color w:val="000000"/>
                <w:lang w:val="es-ES"/>
              </w:rPr>
              <w:t>Historia Tradicional y la “Nueva Historia”</w:t>
            </w:r>
          </w:p>
          <w:p w14:paraId="0D613F28" w14:textId="77777777" w:rsidR="000D2967" w:rsidRDefault="00B14EAD">
            <w:pPr>
              <w:spacing w:after="0" w:line="252" w:lineRule="auto"/>
              <w:jc w:val="both"/>
              <w:rPr>
                <w:rFonts w:cs="Arial"/>
                <w:color w:val="000000"/>
                <w:lang w:val="es-ES"/>
              </w:rPr>
            </w:pPr>
            <w:r>
              <w:rPr>
                <w:rFonts w:cs="Arial"/>
                <w:color w:val="000000"/>
                <w:lang w:val="es-ES"/>
              </w:rPr>
              <w:t>- Concepción de sujeto histórico e historicidad</w:t>
            </w:r>
          </w:p>
          <w:p w14:paraId="66C09B60" w14:textId="77777777" w:rsidR="000D2967" w:rsidRDefault="00B14EAD">
            <w:pPr>
              <w:spacing w:after="0" w:line="252" w:lineRule="auto"/>
              <w:jc w:val="both"/>
              <w:rPr>
                <w:rFonts w:cs="Arial"/>
                <w:color w:val="000000"/>
                <w:lang w:val="es-ES"/>
              </w:rPr>
            </w:pPr>
            <w:r>
              <w:rPr>
                <w:rFonts w:cs="Arial"/>
                <w:color w:val="000000"/>
                <w:lang w:val="es-ES"/>
              </w:rPr>
              <w:t>2. Los orígenes de la época contemporánea- Los modos de producción precapitalistas</w:t>
            </w:r>
          </w:p>
          <w:p w14:paraId="06159469" w14:textId="77777777" w:rsidR="000D2967" w:rsidRDefault="00B14EAD">
            <w:pPr>
              <w:spacing w:after="0" w:line="252" w:lineRule="auto"/>
              <w:jc w:val="both"/>
              <w:rPr>
                <w:rFonts w:cs="Arial"/>
                <w:color w:val="000000"/>
                <w:lang w:val="es-ES"/>
              </w:rPr>
            </w:pPr>
            <w:r>
              <w:rPr>
                <w:rFonts w:cs="Arial"/>
                <w:color w:val="000000"/>
                <w:lang w:val="es-ES"/>
              </w:rPr>
              <w:t>- Revolución industrial europea, creación de un mercado mundial y la transición al</w:t>
            </w:r>
            <w:r>
              <w:rPr>
                <w:rFonts w:cs="Arial"/>
                <w:color w:val="000000"/>
                <w:lang w:val="es-ES"/>
              </w:rPr>
              <w:t xml:space="preserve"> capitalismo</w:t>
            </w:r>
          </w:p>
          <w:p w14:paraId="04EB2E28" w14:textId="77777777" w:rsidR="000D2967" w:rsidRDefault="00B14EAD">
            <w:pPr>
              <w:spacing w:after="0" w:line="252" w:lineRule="auto"/>
              <w:jc w:val="both"/>
              <w:rPr>
                <w:rFonts w:cs="Arial"/>
                <w:color w:val="000000"/>
                <w:lang w:val="es-ES"/>
              </w:rPr>
            </w:pPr>
            <w:r>
              <w:rPr>
                <w:rFonts w:cs="Arial"/>
                <w:color w:val="000000"/>
                <w:lang w:val="es-ES"/>
              </w:rPr>
              <w:t>3. La revolución francesa, la independencia de EEUU y de las colonias americanas y el proceso de construcción de Estado en América Latina.</w:t>
            </w:r>
          </w:p>
          <w:p w14:paraId="4D5655E0" w14:textId="77777777" w:rsidR="000D2967" w:rsidRDefault="00B14EAD">
            <w:pPr>
              <w:spacing w:after="0" w:line="252" w:lineRule="auto"/>
              <w:jc w:val="both"/>
              <w:rPr>
                <w:rFonts w:cs="Arial"/>
                <w:color w:val="000000"/>
                <w:lang w:val="es-ES"/>
              </w:rPr>
            </w:pPr>
            <w:r>
              <w:rPr>
                <w:rFonts w:cs="Arial"/>
                <w:color w:val="000000"/>
                <w:lang w:val="es-ES"/>
              </w:rPr>
              <w:t>4. Expansión, auge y crisis del discurso liberal en Europa y América Latina.</w:t>
            </w:r>
          </w:p>
          <w:p w14:paraId="042945B3" w14:textId="77777777" w:rsidR="000D2967" w:rsidRDefault="00B14EAD">
            <w:pPr>
              <w:spacing w:after="0" w:line="252" w:lineRule="auto"/>
              <w:jc w:val="both"/>
              <w:rPr>
                <w:rFonts w:cs="Arial"/>
                <w:color w:val="000000"/>
                <w:lang w:val="es-ES"/>
              </w:rPr>
            </w:pPr>
            <w:r>
              <w:rPr>
                <w:rFonts w:cs="Arial"/>
                <w:color w:val="000000"/>
                <w:lang w:val="es-ES"/>
              </w:rPr>
              <w:t xml:space="preserve">5. El </w:t>
            </w:r>
            <w:r>
              <w:rPr>
                <w:rFonts w:cs="Arial"/>
                <w:color w:val="000000"/>
                <w:lang w:val="es-ES"/>
              </w:rPr>
              <w:t>surgimiento del movimiento obrero como actor social independiente, las revoluciones europeas de 1848, la Comuna de Paris y la expansión del pensamiento socialista a nivel planetario.</w:t>
            </w:r>
          </w:p>
          <w:p w14:paraId="3E6396E7" w14:textId="77777777" w:rsidR="000D2967" w:rsidRDefault="00B14EAD">
            <w:pPr>
              <w:spacing w:after="0" w:line="252" w:lineRule="auto"/>
              <w:jc w:val="both"/>
              <w:rPr>
                <w:rFonts w:cs="Arial"/>
                <w:color w:val="000000"/>
                <w:lang w:val="es-ES"/>
              </w:rPr>
            </w:pPr>
            <w:r>
              <w:rPr>
                <w:rFonts w:cs="Arial"/>
                <w:color w:val="000000"/>
                <w:lang w:val="es-ES"/>
              </w:rPr>
              <w:t>6. De la cuestión social en América Latina a la insurrección campesino-in</w:t>
            </w:r>
            <w:r>
              <w:rPr>
                <w:rFonts w:cs="Arial"/>
                <w:color w:val="000000"/>
                <w:lang w:val="es-ES"/>
              </w:rPr>
              <w:t>dígena (Revolución Mexicana, 1910)</w:t>
            </w:r>
          </w:p>
          <w:p w14:paraId="0DA10293" w14:textId="77777777" w:rsidR="000D2967" w:rsidRDefault="00B14EAD">
            <w:pPr>
              <w:spacing w:after="0" w:line="252" w:lineRule="auto"/>
              <w:jc w:val="both"/>
              <w:rPr>
                <w:rFonts w:cs="Arial"/>
                <w:color w:val="000000"/>
                <w:lang w:val="es-ES"/>
              </w:rPr>
            </w:pPr>
            <w:r>
              <w:rPr>
                <w:rFonts w:cs="Arial"/>
                <w:color w:val="000000"/>
                <w:lang w:val="es-ES"/>
              </w:rPr>
              <w:t>7. Primera Guerra Mundial, Revolución Rusa y la primera gran crisis del capitalismo (1929)</w:t>
            </w:r>
          </w:p>
          <w:p w14:paraId="74EC6F08" w14:textId="77777777" w:rsidR="000D2967" w:rsidRDefault="00B14EAD">
            <w:pPr>
              <w:spacing w:after="0" w:line="252" w:lineRule="auto"/>
              <w:jc w:val="both"/>
              <w:rPr>
                <w:rFonts w:cs="Arial"/>
                <w:color w:val="000000"/>
                <w:lang w:val="es-ES"/>
              </w:rPr>
            </w:pPr>
            <w:r>
              <w:rPr>
                <w:rFonts w:cs="Arial"/>
                <w:color w:val="000000"/>
                <w:lang w:val="es-ES"/>
              </w:rPr>
              <w:t>8. El difícil escenario europeo de la posguerra: surgimiento del fascismo y el nacionalsocialismo. Recepción del fascismo en Améri</w:t>
            </w:r>
            <w:r>
              <w:rPr>
                <w:rFonts w:cs="Arial"/>
                <w:color w:val="000000"/>
                <w:lang w:val="es-ES"/>
              </w:rPr>
              <w:t>ca Latina: el surgimiento de los populismos y los modelos nacional-desarrollistas.</w:t>
            </w:r>
          </w:p>
          <w:p w14:paraId="2D6C7780" w14:textId="77777777" w:rsidR="000D2967" w:rsidRDefault="00B14EAD">
            <w:pPr>
              <w:spacing w:after="0" w:line="252" w:lineRule="auto"/>
              <w:jc w:val="both"/>
              <w:rPr>
                <w:rFonts w:cs="Arial"/>
                <w:color w:val="000000"/>
                <w:lang w:val="es-ES"/>
              </w:rPr>
            </w:pPr>
            <w:r>
              <w:rPr>
                <w:rFonts w:cs="Arial"/>
                <w:color w:val="000000"/>
                <w:lang w:val="es-ES"/>
              </w:rPr>
              <w:t xml:space="preserve">9. Segunda Guerra Mundial y Guerra Fría: la </w:t>
            </w:r>
            <w:proofErr w:type="spellStart"/>
            <w:r>
              <w:rPr>
                <w:rFonts w:cs="Arial"/>
                <w:color w:val="000000"/>
                <w:lang w:val="es-ES"/>
              </w:rPr>
              <w:t>pax</w:t>
            </w:r>
            <w:proofErr w:type="spellEnd"/>
            <w:r>
              <w:rPr>
                <w:rFonts w:cs="Arial"/>
                <w:color w:val="000000"/>
                <w:lang w:val="es-ES"/>
              </w:rPr>
              <w:t xml:space="preserve"> americana, políticas keynesianas y expansión del campo socialista.</w:t>
            </w:r>
          </w:p>
          <w:p w14:paraId="35312B10" w14:textId="77777777" w:rsidR="000D2967" w:rsidRDefault="00B14EAD">
            <w:pPr>
              <w:spacing w:after="0" w:line="252" w:lineRule="auto"/>
              <w:jc w:val="both"/>
              <w:rPr>
                <w:rFonts w:cs="Arial"/>
                <w:color w:val="000000"/>
                <w:lang w:val="es-ES"/>
              </w:rPr>
            </w:pPr>
            <w:r>
              <w:rPr>
                <w:rFonts w:cs="Arial"/>
                <w:color w:val="000000"/>
                <w:lang w:val="es-ES"/>
              </w:rPr>
              <w:t>10. Crisis de los modelos nacional desarrollistas: de la r</w:t>
            </w:r>
            <w:r>
              <w:rPr>
                <w:rFonts w:cs="Arial"/>
                <w:color w:val="000000"/>
                <w:lang w:val="es-ES"/>
              </w:rPr>
              <w:t>evolución cubana a los fenómenos guerrilleros.</w:t>
            </w:r>
          </w:p>
          <w:p w14:paraId="3A4DDC2E" w14:textId="77777777" w:rsidR="000D2967" w:rsidRDefault="00B14EAD">
            <w:pPr>
              <w:spacing w:after="0" w:line="252" w:lineRule="auto"/>
              <w:jc w:val="both"/>
              <w:rPr>
                <w:rFonts w:cs="Arial"/>
                <w:color w:val="000000"/>
                <w:lang w:val="es-ES"/>
              </w:rPr>
            </w:pPr>
            <w:r>
              <w:rPr>
                <w:rFonts w:cs="Arial"/>
                <w:color w:val="000000"/>
                <w:lang w:val="es-ES"/>
              </w:rPr>
              <w:lastRenderedPageBreak/>
              <w:t>11. Nacimiento del neoliberalismo y colapso de los socialismos reales.</w:t>
            </w:r>
          </w:p>
          <w:p w14:paraId="5804A29B" w14:textId="77777777" w:rsidR="000D2967" w:rsidRDefault="00B14EAD">
            <w:pPr>
              <w:spacing w:after="0" w:line="252" w:lineRule="auto"/>
              <w:jc w:val="both"/>
              <w:rPr>
                <w:rFonts w:cs="Arial"/>
                <w:color w:val="000000"/>
                <w:lang w:val="es-ES"/>
              </w:rPr>
            </w:pPr>
            <w:r>
              <w:rPr>
                <w:rFonts w:cs="Arial"/>
                <w:color w:val="000000"/>
                <w:lang w:val="es-ES"/>
              </w:rPr>
              <w:t xml:space="preserve">12. Las dictaduras latinoamericanas: estados conservadores, </w:t>
            </w:r>
            <w:proofErr w:type="spellStart"/>
            <w:r>
              <w:rPr>
                <w:rFonts w:cs="Arial"/>
                <w:color w:val="000000"/>
                <w:lang w:val="es-ES"/>
              </w:rPr>
              <w:t>politicas</w:t>
            </w:r>
            <w:proofErr w:type="spellEnd"/>
            <w:r>
              <w:rPr>
                <w:rFonts w:cs="Arial"/>
                <w:color w:val="000000"/>
                <w:lang w:val="es-ES"/>
              </w:rPr>
              <w:t xml:space="preserve"> neoliberales y surgimiento de los movimientos sociales.</w:t>
            </w:r>
          </w:p>
          <w:p w14:paraId="44DF029A" w14:textId="77777777" w:rsidR="000D2967" w:rsidRDefault="00B14EAD">
            <w:pPr>
              <w:spacing w:after="0" w:line="252" w:lineRule="auto"/>
              <w:jc w:val="both"/>
              <w:rPr>
                <w:rFonts w:eastAsia="Times New Roman" w:cs="Arial"/>
                <w:color w:val="000000"/>
                <w:lang w:val="es-ES" w:eastAsia="es-CL"/>
              </w:rPr>
            </w:pPr>
            <w:r>
              <w:rPr>
                <w:rFonts w:eastAsia="Times New Roman" w:cs="Arial"/>
                <w:color w:val="000000"/>
                <w:lang w:val="es-ES" w:eastAsia="es-CL"/>
              </w:rPr>
              <w:t>13. Auge del</w:t>
            </w:r>
            <w:r>
              <w:rPr>
                <w:rFonts w:eastAsia="Times New Roman" w:cs="Arial"/>
                <w:color w:val="000000"/>
                <w:lang w:val="es-ES" w:eastAsia="es-CL"/>
              </w:rPr>
              <w:t xml:space="preserve"> neoliberalismo, globalización cultural y resistencia de la sociedad civil a nivel planetario: de Seattle a los “indignados”. Movimientos sociales en América Latina y su relación con el Estado: de los gobiernos progresistas a la nueva oleada conservadora.</w:t>
            </w:r>
          </w:p>
          <w:p w14:paraId="3A73B62C" w14:textId="77777777" w:rsidR="000D2967" w:rsidRDefault="000D2967">
            <w:pPr>
              <w:spacing w:after="0" w:line="252" w:lineRule="auto"/>
              <w:jc w:val="both"/>
            </w:pPr>
          </w:p>
          <w:p w14:paraId="042082DD" w14:textId="77777777" w:rsidR="000D2967" w:rsidRDefault="00B14EAD">
            <w:pPr>
              <w:spacing w:after="0" w:line="252" w:lineRule="auto"/>
              <w:jc w:val="both"/>
              <w:rPr>
                <w:rFonts w:eastAsia="Times New Roman" w:cs="Calibri"/>
                <w:lang w:eastAsia="es-CL"/>
              </w:rPr>
            </w:pPr>
            <w:r>
              <w:rPr>
                <w:rFonts w:eastAsia="Times New Roman" w:cs="Calibri"/>
                <w:lang w:eastAsia="es-CL"/>
              </w:rPr>
              <w:t>Para el desarrollo de estas unidades, se planifica un espacio de aprendizaje teórico-práctico donde, a través de actividades grupales realizadas tanto en clases como fuera de ella, las y los estudiantes deberán aplicar determinadas herramientas teóricas e</w:t>
            </w:r>
            <w:r>
              <w:rPr>
                <w:rFonts w:eastAsia="Times New Roman" w:cs="Calibri"/>
                <w:lang w:eastAsia="es-CL"/>
              </w:rPr>
              <w:t xml:space="preserve"> historiográficas al análisis del pasado y presente.</w:t>
            </w:r>
          </w:p>
          <w:p w14:paraId="6E4919B2" w14:textId="77777777" w:rsidR="000D2967" w:rsidRDefault="000D2967">
            <w:pPr>
              <w:spacing w:after="0" w:line="252" w:lineRule="auto"/>
              <w:jc w:val="both"/>
              <w:rPr>
                <w:rFonts w:eastAsia="Times New Roman" w:cs="Calibri"/>
                <w:lang w:eastAsia="es-CL"/>
              </w:rPr>
            </w:pPr>
          </w:p>
          <w:p w14:paraId="056BB176" w14:textId="77777777" w:rsidR="000D2967" w:rsidRDefault="00B14EAD">
            <w:pPr>
              <w:spacing w:after="0" w:line="252" w:lineRule="auto"/>
              <w:jc w:val="both"/>
            </w:pPr>
            <w:r>
              <w:rPr>
                <w:rFonts w:eastAsia="Times New Roman" w:cs="Calibri"/>
                <w:lang w:eastAsia="es-CL"/>
              </w:rPr>
              <w:t>Además, se realizarán actividades en clases que permitirán ir evaluando la integración de los aprendizajes obtenidos en el curso.</w:t>
            </w:r>
          </w:p>
          <w:p w14:paraId="0F83AFA5" w14:textId="77777777" w:rsidR="000D2967" w:rsidRDefault="000D2967">
            <w:pPr>
              <w:spacing w:after="0" w:line="252" w:lineRule="auto"/>
              <w:jc w:val="both"/>
              <w:rPr>
                <w:rFonts w:eastAsia="Times New Roman" w:cs="Calibri"/>
                <w:lang w:eastAsia="es-CL"/>
              </w:rPr>
            </w:pPr>
          </w:p>
          <w:p w14:paraId="49F6141F" w14:textId="77777777" w:rsidR="000D2967" w:rsidRDefault="000D2967">
            <w:pPr>
              <w:spacing w:after="0" w:line="252" w:lineRule="auto"/>
              <w:jc w:val="both"/>
              <w:rPr>
                <w:rFonts w:cs="Calibri"/>
                <w:b/>
                <w:bCs/>
                <w:color w:val="000000"/>
                <w:kern w:val="2"/>
                <w:lang w:eastAsia="es-CL"/>
              </w:rPr>
            </w:pPr>
          </w:p>
        </w:tc>
      </w:tr>
      <w:tr w:rsidR="000D2967" w14:paraId="426EC77E" w14:textId="77777777">
        <w:trPr>
          <w:trHeight w:val="925"/>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3775A921"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lastRenderedPageBreak/>
              <w:t>Estrategia general de evaluación de aprendizajes:</w:t>
            </w:r>
          </w:p>
          <w:p w14:paraId="37E63B05" w14:textId="77777777" w:rsidR="000D2967" w:rsidRDefault="000D2967">
            <w:pPr>
              <w:spacing w:after="0" w:line="252" w:lineRule="auto"/>
              <w:jc w:val="both"/>
              <w:rPr>
                <w:rFonts w:cs="Calibri"/>
                <w:b/>
                <w:bCs/>
                <w:color w:val="000000"/>
                <w:kern w:val="2"/>
                <w:lang w:val="es-ES" w:eastAsia="es-CL"/>
              </w:rPr>
            </w:pPr>
          </w:p>
          <w:p w14:paraId="16730091" w14:textId="306CBAE9" w:rsidR="000D2967" w:rsidRDefault="00B14EAD">
            <w:pPr>
              <w:spacing w:after="0" w:line="252" w:lineRule="auto"/>
              <w:jc w:val="both"/>
              <w:rPr>
                <w:rFonts w:cs="Arial"/>
                <w:bCs/>
                <w:color w:val="000000"/>
                <w:kern w:val="2"/>
                <w:lang w:val="es-ES" w:eastAsia="es-CL"/>
              </w:rPr>
            </w:pPr>
            <w:r>
              <w:rPr>
                <w:rFonts w:cs="Arial"/>
                <w:bCs/>
                <w:color w:val="000000"/>
                <w:kern w:val="2"/>
                <w:lang w:val="es-ES" w:eastAsia="es-CL"/>
              </w:rPr>
              <w:t xml:space="preserve">Se realizarán </w:t>
            </w:r>
            <w:r w:rsidR="008E4485">
              <w:rPr>
                <w:rFonts w:cs="Arial"/>
                <w:bCs/>
                <w:color w:val="000000"/>
                <w:kern w:val="2"/>
                <w:lang w:val="es-ES" w:eastAsia="es-CL"/>
              </w:rPr>
              <w:t>tres</w:t>
            </w:r>
            <w:r>
              <w:rPr>
                <w:rFonts w:cs="Arial"/>
                <w:bCs/>
                <w:color w:val="000000"/>
                <w:kern w:val="2"/>
                <w:lang w:val="es-ES" w:eastAsia="es-CL"/>
              </w:rPr>
              <w:t xml:space="preserve"> evaluaciones enfocadas en el conocimiento y utilización de diversos formatos de búsqueda, revisión y análisis crítico de fuentes primarias y secundarias para el estudio de los procesos históricos descritos en el programa.  </w:t>
            </w:r>
          </w:p>
          <w:p w14:paraId="54E974AB" w14:textId="77777777" w:rsidR="000D2967" w:rsidRDefault="000D2967">
            <w:pPr>
              <w:spacing w:after="0" w:line="252" w:lineRule="auto"/>
              <w:jc w:val="both"/>
              <w:rPr>
                <w:rFonts w:cs="Arial"/>
                <w:bCs/>
                <w:color w:val="000000"/>
                <w:kern w:val="2"/>
                <w:lang w:val="es-ES" w:eastAsia="es-CL"/>
              </w:rPr>
            </w:pPr>
          </w:p>
          <w:p w14:paraId="1B2DB497" w14:textId="77777777" w:rsidR="000D2967" w:rsidRDefault="00B14EAD">
            <w:pPr>
              <w:spacing w:after="0" w:line="252" w:lineRule="auto"/>
              <w:jc w:val="both"/>
            </w:pPr>
            <w:r>
              <w:rPr>
                <w:rFonts w:cs="Arial"/>
                <w:bCs/>
                <w:color w:val="000000"/>
                <w:kern w:val="2"/>
                <w:lang w:val="es-ES" w:eastAsia="es-CL"/>
              </w:rPr>
              <w:t xml:space="preserve">Para cada </w:t>
            </w:r>
            <w:r>
              <w:rPr>
                <w:rFonts w:cs="Arial"/>
                <w:bCs/>
                <w:color w:val="000000"/>
                <w:kern w:val="2"/>
                <w:lang w:val="es-ES" w:eastAsia="es-CL"/>
              </w:rPr>
              <w:t>una de estas evaluaciones, el docente entregará bibliografía escogida del Programa. Todas las evaluaciones serán realizadas en parejas, los que contarán con el apoyo y guía del docente y de las/os ayudantes. En cada evaluación deberán conformarse parejas d</w:t>
            </w:r>
            <w:r>
              <w:rPr>
                <w:rFonts w:cs="Arial"/>
                <w:bCs/>
                <w:color w:val="000000"/>
                <w:kern w:val="2"/>
                <w:lang w:val="es-ES" w:eastAsia="es-CL"/>
              </w:rPr>
              <w:t xml:space="preserve">iferentes. </w:t>
            </w:r>
          </w:p>
          <w:p w14:paraId="4375D0FC" w14:textId="77777777" w:rsidR="000D2967" w:rsidRDefault="000D2967">
            <w:pPr>
              <w:spacing w:after="0" w:line="252" w:lineRule="auto"/>
              <w:jc w:val="both"/>
              <w:rPr>
                <w:rFonts w:cs="Calibri"/>
                <w:bCs/>
                <w:color w:val="000000"/>
                <w:kern w:val="2"/>
                <w:lang w:eastAsia="es-CL"/>
              </w:rPr>
            </w:pPr>
          </w:p>
          <w:p w14:paraId="469E4FF8" w14:textId="77777777" w:rsidR="000D2967" w:rsidRDefault="000D2967">
            <w:pPr>
              <w:spacing w:after="0" w:line="252" w:lineRule="auto"/>
              <w:jc w:val="both"/>
              <w:rPr>
                <w:rFonts w:eastAsia="Times New Roman" w:cs="Calibri"/>
                <w:lang w:eastAsia="es-CL"/>
              </w:rPr>
            </w:pPr>
          </w:p>
        </w:tc>
      </w:tr>
      <w:tr w:rsidR="000D2967" w14:paraId="01ED1D3A" w14:textId="77777777">
        <w:trPr>
          <w:trHeight w:val="533"/>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2EE803EB" w14:textId="77777777" w:rsidR="000D2967" w:rsidRDefault="00B14EAD">
            <w:pPr>
              <w:spacing w:after="0" w:line="252" w:lineRule="auto"/>
              <w:jc w:val="both"/>
              <w:rPr>
                <w:rFonts w:cs="Calibri"/>
                <w:b/>
                <w:bCs/>
                <w:color w:val="000000"/>
                <w:kern w:val="2"/>
                <w:lang w:eastAsia="es-CL"/>
              </w:rPr>
            </w:pPr>
            <w:r>
              <w:rPr>
                <w:rFonts w:cs="Calibri"/>
                <w:b/>
                <w:bCs/>
                <w:color w:val="000000"/>
                <w:kern w:val="2"/>
                <w:lang w:eastAsia="es-CL"/>
              </w:rPr>
              <w:t>Sistema de calificaciones y requisitos de aprobación:</w:t>
            </w:r>
          </w:p>
          <w:p w14:paraId="15EB0B5E" w14:textId="77777777" w:rsidR="000D2967" w:rsidRDefault="000D2967">
            <w:pPr>
              <w:spacing w:after="0" w:line="252" w:lineRule="auto"/>
              <w:jc w:val="both"/>
              <w:rPr>
                <w:rFonts w:cs="Calibri"/>
                <w:bCs/>
                <w:color w:val="000000"/>
                <w:kern w:val="2"/>
                <w:lang w:eastAsia="es-CL"/>
              </w:rPr>
            </w:pPr>
          </w:p>
          <w:p w14:paraId="751FC314" w14:textId="52B934B8" w:rsidR="000D2967" w:rsidRDefault="00B14EAD">
            <w:pPr>
              <w:spacing w:after="0" w:line="252" w:lineRule="auto"/>
              <w:jc w:val="both"/>
            </w:pPr>
            <w:r>
              <w:rPr>
                <w:rFonts w:cs="Arial"/>
                <w:bCs/>
                <w:color w:val="000000"/>
                <w:kern w:val="2"/>
                <w:lang w:val="es-ES" w:eastAsia="es-CL"/>
              </w:rPr>
              <w:t>1. Informe de Lectura (</w:t>
            </w:r>
            <w:r w:rsidR="008E4485">
              <w:rPr>
                <w:rFonts w:cs="Arial"/>
                <w:bCs/>
                <w:color w:val="000000"/>
                <w:kern w:val="2"/>
                <w:lang w:val="es-ES" w:eastAsia="es-CL"/>
              </w:rPr>
              <w:t>25</w:t>
            </w:r>
            <w:r>
              <w:rPr>
                <w:rFonts w:cs="Arial"/>
                <w:bCs/>
                <w:color w:val="000000"/>
                <w:kern w:val="2"/>
                <w:lang w:val="es-ES" w:eastAsia="es-CL"/>
              </w:rPr>
              <w:t xml:space="preserve">%): Semana </w:t>
            </w:r>
            <w:r w:rsidR="008E4485">
              <w:rPr>
                <w:rFonts w:cs="Arial"/>
                <w:bCs/>
                <w:color w:val="000000"/>
                <w:kern w:val="2"/>
                <w:lang w:val="es-ES" w:eastAsia="es-CL"/>
              </w:rPr>
              <w:t>5</w:t>
            </w:r>
            <w:r>
              <w:rPr>
                <w:rFonts w:cs="Arial"/>
                <w:bCs/>
                <w:color w:val="000000"/>
                <w:kern w:val="2"/>
                <w:lang w:val="es-ES" w:eastAsia="es-CL"/>
              </w:rPr>
              <w:t xml:space="preserve"> de clases.</w:t>
            </w:r>
          </w:p>
          <w:p w14:paraId="5E8BBD5E" w14:textId="45C04744" w:rsidR="000D2967" w:rsidRDefault="00B14EAD">
            <w:pPr>
              <w:spacing w:after="0" w:line="252" w:lineRule="auto"/>
              <w:jc w:val="both"/>
            </w:pPr>
            <w:r>
              <w:rPr>
                <w:rFonts w:cs="Arial"/>
                <w:bCs/>
                <w:lang w:val="es-ES"/>
              </w:rPr>
              <w:t>2. Discusión bibliográfica (análisis comparativo de tesis de autores) (</w:t>
            </w:r>
            <w:r w:rsidR="008E4485">
              <w:rPr>
                <w:rFonts w:cs="Arial"/>
                <w:bCs/>
                <w:lang w:val="es-ES"/>
              </w:rPr>
              <w:t>3</w:t>
            </w:r>
            <w:r>
              <w:rPr>
                <w:rFonts w:cs="Arial"/>
                <w:bCs/>
                <w:lang w:val="es-ES"/>
              </w:rPr>
              <w:t xml:space="preserve">5%): semana </w:t>
            </w:r>
            <w:r w:rsidR="008E4485">
              <w:rPr>
                <w:rFonts w:cs="Arial"/>
                <w:bCs/>
                <w:lang w:val="es-ES"/>
              </w:rPr>
              <w:t>10</w:t>
            </w:r>
            <w:r>
              <w:rPr>
                <w:rFonts w:cs="Arial"/>
                <w:bCs/>
                <w:lang w:val="es-ES"/>
              </w:rPr>
              <w:t xml:space="preserve"> de clases</w:t>
            </w:r>
          </w:p>
          <w:p w14:paraId="5C59F7B8" w14:textId="7E885E12" w:rsidR="000D2967" w:rsidRDefault="00B14EAD">
            <w:pPr>
              <w:spacing w:after="0" w:line="252" w:lineRule="auto"/>
              <w:jc w:val="both"/>
            </w:pPr>
            <w:r>
              <w:rPr>
                <w:rFonts w:cs="Arial"/>
                <w:bCs/>
                <w:lang w:val="es-ES"/>
              </w:rPr>
              <w:t>3. Ensayo (</w:t>
            </w:r>
            <w:r w:rsidR="008E4485">
              <w:rPr>
                <w:rFonts w:cs="Arial"/>
                <w:bCs/>
                <w:lang w:val="es-ES"/>
              </w:rPr>
              <w:t>40</w:t>
            </w:r>
            <w:r>
              <w:rPr>
                <w:rFonts w:cs="Arial"/>
                <w:bCs/>
                <w:lang w:val="es-ES"/>
              </w:rPr>
              <w:t>%): semana 1</w:t>
            </w:r>
            <w:r w:rsidR="008E4485">
              <w:rPr>
                <w:rFonts w:cs="Arial"/>
                <w:bCs/>
                <w:lang w:val="es-ES"/>
              </w:rPr>
              <w:t>5</w:t>
            </w:r>
            <w:r>
              <w:rPr>
                <w:rFonts w:cs="Arial"/>
                <w:bCs/>
                <w:lang w:val="es-ES"/>
              </w:rPr>
              <w:t xml:space="preserve"> de clases</w:t>
            </w:r>
          </w:p>
          <w:p w14:paraId="02813805" w14:textId="77777777" w:rsidR="000D2967" w:rsidRDefault="000D2967">
            <w:pPr>
              <w:spacing w:after="0" w:line="252" w:lineRule="auto"/>
              <w:jc w:val="both"/>
              <w:rPr>
                <w:rFonts w:cs="Arial"/>
                <w:bCs/>
                <w:color w:val="000000"/>
                <w:kern w:val="2"/>
                <w:lang w:val="es-ES" w:eastAsia="es-CL"/>
              </w:rPr>
            </w:pPr>
          </w:p>
          <w:p w14:paraId="324EDA0E" w14:textId="77777777" w:rsidR="000D2967" w:rsidRDefault="00B14EAD">
            <w:pPr>
              <w:spacing w:after="0" w:line="252" w:lineRule="auto"/>
              <w:jc w:val="both"/>
            </w:pPr>
            <w:r>
              <w:rPr>
                <w:rFonts w:cs="Calibri"/>
                <w:bCs/>
                <w:color w:val="000000"/>
                <w:kern w:val="2"/>
                <w:lang w:eastAsia="es-CL"/>
              </w:rPr>
              <w:t>El promedio de notas del semestre tiene una ponderación del 60% y el examen 40%. La nota de aprobación del curso es 4.0  (cuatro punto cero). Se eximirán del examen quienes obtengan un promedio igual o superior a 5.5</w:t>
            </w:r>
            <w:r>
              <w:rPr>
                <w:rFonts w:cs="Calibri"/>
                <w:bCs/>
                <w:color w:val="000000"/>
                <w:kern w:val="2"/>
                <w:lang w:eastAsia="es-CL"/>
              </w:rPr>
              <w:t xml:space="preserve"> (cinco punto cinco).</w:t>
            </w:r>
          </w:p>
          <w:p w14:paraId="16101472" w14:textId="77777777" w:rsidR="000D2967" w:rsidRDefault="000D2967">
            <w:pPr>
              <w:spacing w:after="0" w:line="252" w:lineRule="auto"/>
              <w:jc w:val="both"/>
              <w:rPr>
                <w:rFonts w:cs="Calibri"/>
                <w:bCs/>
                <w:color w:val="000000"/>
                <w:kern w:val="2"/>
                <w:lang w:eastAsia="es-CL"/>
              </w:rPr>
            </w:pPr>
          </w:p>
        </w:tc>
      </w:tr>
      <w:tr w:rsidR="000D2967" w14:paraId="741CE7FF" w14:textId="77777777">
        <w:trPr>
          <w:trHeight w:val="864"/>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0086FC50" w14:textId="77777777" w:rsidR="000D2967" w:rsidRDefault="00B14EAD">
            <w:pPr>
              <w:spacing w:after="0" w:line="240" w:lineRule="auto"/>
              <w:jc w:val="both"/>
            </w:pPr>
            <w:r>
              <w:rPr>
                <w:rFonts w:eastAsia="Times New Roman" w:cs="Calibri"/>
                <w:b/>
                <w:bCs/>
                <w:color w:val="000000"/>
                <w:kern w:val="2"/>
                <w:lang w:val="es-ES_tradnl" w:eastAsia="es-CL"/>
              </w:rPr>
              <w:lastRenderedPageBreak/>
              <w:t>Normativa del curso</w:t>
            </w:r>
            <w:r>
              <w:rPr>
                <w:rFonts w:eastAsia="Times New Roman" w:cs="Calibri"/>
                <w:color w:val="000000"/>
                <w:kern w:val="2"/>
                <w:lang w:val="es-ES_tradnl" w:eastAsia="es-CL"/>
              </w:rPr>
              <w:t xml:space="preserve"> </w:t>
            </w:r>
          </w:p>
          <w:p w14:paraId="558A2C0E" w14:textId="77777777" w:rsidR="000D2967" w:rsidRDefault="000D2967">
            <w:pPr>
              <w:spacing w:after="0" w:line="252" w:lineRule="auto"/>
              <w:jc w:val="both"/>
              <w:rPr>
                <w:rFonts w:eastAsia="Times New Roman" w:cs="Calibri"/>
                <w:color w:val="000000"/>
                <w:kern w:val="2"/>
                <w:lang w:val="es-ES_tradnl" w:eastAsia="es-CL"/>
              </w:rPr>
            </w:pPr>
          </w:p>
          <w:p w14:paraId="30C8FF41" w14:textId="77777777" w:rsidR="000D2967" w:rsidRDefault="00B14EAD">
            <w:pPr>
              <w:pStyle w:val="Prrafodelista"/>
              <w:numPr>
                <w:ilvl w:val="0"/>
                <w:numId w:val="4"/>
              </w:numPr>
              <w:spacing w:after="0"/>
              <w:jc w:val="both"/>
            </w:pPr>
            <w:r>
              <w:rPr>
                <w:rFonts w:eastAsia="Times New Roman" w:cs="Calibri"/>
                <w:b/>
                <w:color w:val="000000"/>
                <w:kern w:val="2"/>
                <w:lang w:val="es-ES_tradnl" w:eastAsia="es-CL"/>
              </w:rPr>
              <w:t>Asistencia mínima:</w:t>
            </w:r>
            <w:r>
              <w:rPr>
                <w:rFonts w:eastAsia="Times New Roman" w:cs="Calibri"/>
                <w:color w:val="000000"/>
                <w:kern w:val="2"/>
                <w:lang w:val="es-ES_tradnl" w:eastAsia="es-CL"/>
              </w:rPr>
              <w:t xml:space="preserve"> 50%</w:t>
            </w:r>
            <w:r>
              <w:rPr>
                <w:rFonts w:cs="Calibri"/>
                <w:b/>
                <w:bCs/>
                <w:color w:val="000000"/>
                <w:kern w:val="2"/>
                <w:lang w:eastAsia="es-CL"/>
              </w:rPr>
              <w:t xml:space="preserve"> </w:t>
            </w:r>
          </w:p>
          <w:p w14:paraId="29F5361C" w14:textId="77777777" w:rsidR="000D2967" w:rsidRDefault="000D2967">
            <w:pPr>
              <w:spacing w:after="0" w:line="252" w:lineRule="auto"/>
              <w:jc w:val="both"/>
              <w:rPr>
                <w:rFonts w:cs="Calibri"/>
                <w:b/>
                <w:bCs/>
                <w:color w:val="000000"/>
                <w:kern w:val="2"/>
                <w:lang w:eastAsia="es-CL"/>
              </w:rPr>
            </w:pPr>
          </w:p>
          <w:p w14:paraId="3F298D50" w14:textId="77777777" w:rsidR="000D2967" w:rsidRDefault="00B14EAD">
            <w:pPr>
              <w:pStyle w:val="Prrafodelista"/>
              <w:numPr>
                <w:ilvl w:val="0"/>
                <w:numId w:val="4"/>
              </w:numPr>
              <w:spacing w:after="0"/>
              <w:jc w:val="both"/>
            </w:pPr>
            <w:r>
              <w:rPr>
                <w:rFonts w:cs="Calibri"/>
                <w:b/>
                <w:bCs/>
                <w:color w:val="000000"/>
                <w:kern w:val="2"/>
                <w:lang w:eastAsia="es-CL"/>
              </w:rPr>
              <w:t xml:space="preserve">Exámenes: </w:t>
            </w:r>
            <w:r>
              <w:rPr>
                <w:rFonts w:cs="Calibri"/>
                <w:bCs/>
                <w:color w:val="000000"/>
                <w:kern w:val="2"/>
                <w:lang w:eastAsia="es-CL"/>
              </w:rPr>
              <w:t>t</w:t>
            </w:r>
            <w:r>
              <w:rPr>
                <w:rFonts w:cs="Arial"/>
              </w:rPr>
              <w:t xml:space="preserve">endrán derecho a rendir el examen final en dos oportunidades los/las estudiantes que hayan obtenido nota de presentación igual o superior a 3,5 (tres coma cinco), </w:t>
            </w:r>
            <w:r>
              <w:rPr>
                <w:rFonts w:cs="Arial"/>
              </w:rPr>
              <w:t>siempre que hayan rendido las evaluaciones contempladas en el programa y que cumplan con el porcentaje de asistencia exigido en el programa del curso. Estas evaluaciones parciales deberán ser resueltas e informadas a los/las estudiantes al menos una semana</w:t>
            </w:r>
            <w:r>
              <w:rPr>
                <w:rFonts w:cs="Arial"/>
              </w:rPr>
              <w:t xml:space="preserve"> antes del examen respectivo.</w:t>
            </w:r>
          </w:p>
          <w:p w14:paraId="381F184B" w14:textId="77777777" w:rsidR="000D2967" w:rsidRDefault="00B14EAD">
            <w:pPr>
              <w:pStyle w:val="Prrafodelista"/>
              <w:spacing w:after="0"/>
              <w:jc w:val="both"/>
              <w:rPr>
                <w:rFonts w:cs="Arial"/>
              </w:rPr>
            </w:pPr>
            <w:r>
              <w:rPr>
                <w:rFonts w:cs="Arial"/>
              </w:rPr>
              <w:t>Los/las estudiantes que no hayan alcanzado el promedio indicado en el inciso anterior, sólo tendrán derecho presentarse al examen en segunda oportunidad, siempre que hayan rendido las evaluaciones parciales obligatorias contem</w:t>
            </w:r>
            <w:r>
              <w:rPr>
                <w:rFonts w:cs="Arial"/>
              </w:rPr>
              <w:t>pladas en el programa de la asignatura.</w:t>
            </w:r>
          </w:p>
          <w:p w14:paraId="1BF3D41C" w14:textId="77777777" w:rsidR="000D2967" w:rsidRDefault="00B14EAD">
            <w:pPr>
              <w:ind w:left="708"/>
              <w:jc w:val="both"/>
              <w:rPr>
                <w:rFonts w:cs="Arial"/>
              </w:rPr>
            </w:pPr>
            <w:r>
              <w:rPr>
                <w:rFonts w:cs="Arial"/>
              </w:rPr>
              <w:t>Los/las estudiantes que, teniendo derecho no se presenten a la primera oportunidad, perderán esa opción. En el caso que no se presenten a examen de segunda oportunidad, se considerarán como reprobados/as.</w:t>
            </w:r>
          </w:p>
        </w:tc>
      </w:tr>
      <w:tr w:rsidR="000D2967" w14:paraId="31645726" w14:textId="77777777">
        <w:trPr>
          <w:trHeight w:val="864"/>
        </w:trPr>
        <w:tc>
          <w:tcPr>
            <w:tcW w:w="13003" w:type="dxa"/>
            <w:gridSpan w:val="2"/>
            <w:tcBorders>
              <w:top w:val="single" w:sz="8" w:space="0" w:color="000000"/>
              <w:left w:val="single" w:sz="8" w:space="0" w:color="000000"/>
              <w:bottom w:val="single" w:sz="8" w:space="0" w:color="000000"/>
              <w:right w:val="single" w:sz="8" w:space="0" w:color="000000"/>
            </w:tcBorders>
            <w:shd w:val="clear" w:color="auto" w:fill="auto"/>
          </w:tcPr>
          <w:p w14:paraId="13FD19D3" w14:textId="77777777" w:rsidR="000D2967" w:rsidRDefault="00B14EAD">
            <w:pPr>
              <w:spacing w:after="0" w:line="240" w:lineRule="auto"/>
              <w:jc w:val="both"/>
              <w:rPr>
                <w:rFonts w:eastAsia="Times New Roman" w:cs="Calibri"/>
                <w:b/>
                <w:bCs/>
                <w:color w:val="000000"/>
                <w:kern w:val="2"/>
                <w:lang w:val="es-ES_tradnl" w:eastAsia="es-CL"/>
              </w:rPr>
            </w:pPr>
            <w:r>
              <w:rPr>
                <w:rFonts w:eastAsia="Times New Roman" w:cs="Calibri"/>
                <w:b/>
                <w:bCs/>
                <w:color w:val="000000"/>
                <w:kern w:val="2"/>
                <w:lang w:val="es-ES_tradnl" w:eastAsia="es-CL"/>
              </w:rPr>
              <w:t>Bibliografía Básica y complementaria:</w:t>
            </w:r>
          </w:p>
          <w:p w14:paraId="6FD4749D" w14:textId="77777777" w:rsidR="000D2967" w:rsidRDefault="000D2967">
            <w:pPr>
              <w:spacing w:after="0" w:line="240" w:lineRule="auto"/>
              <w:jc w:val="both"/>
              <w:rPr>
                <w:rFonts w:eastAsia="Times New Roman" w:cs="Calibri"/>
                <w:b/>
                <w:bCs/>
                <w:color w:val="000000"/>
                <w:kern w:val="2"/>
                <w:lang w:val="es-ES_tradnl" w:eastAsia="es-CL"/>
              </w:rPr>
            </w:pPr>
          </w:p>
          <w:p w14:paraId="448A9762" w14:textId="77777777" w:rsidR="000D2967" w:rsidRDefault="00B14EAD">
            <w:pPr>
              <w:spacing w:after="0" w:line="240" w:lineRule="auto"/>
              <w:jc w:val="both"/>
              <w:rPr>
                <w:rFonts w:eastAsia="Times New Roman" w:cs="Calibri"/>
                <w:b/>
                <w:bCs/>
                <w:color w:val="000000"/>
                <w:kern w:val="2"/>
                <w:lang w:val="es-ES_tradnl" w:eastAsia="es-CL"/>
              </w:rPr>
            </w:pPr>
            <w:r>
              <w:rPr>
                <w:rFonts w:eastAsia="Times New Roman" w:cs="Calibri"/>
                <w:b/>
                <w:bCs/>
                <w:color w:val="000000"/>
                <w:kern w:val="2"/>
                <w:lang w:val="es-ES_tradnl" w:eastAsia="es-CL"/>
              </w:rPr>
              <w:t>Bibliografía Básica:</w:t>
            </w:r>
          </w:p>
          <w:p w14:paraId="13DE5742" w14:textId="77777777" w:rsidR="000D2967" w:rsidRDefault="00B14EAD">
            <w:pPr>
              <w:spacing w:after="0" w:line="240" w:lineRule="auto"/>
              <w:jc w:val="both"/>
            </w:pPr>
            <w:r>
              <w:rPr>
                <w:rFonts w:eastAsia="Times New Roman" w:cs="Calibri"/>
                <w:bCs/>
                <w:color w:val="000000"/>
                <w:kern w:val="2"/>
                <w:lang w:val="es-ES_tradnl" w:eastAsia="es-CL"/>
              </w:rPr>
              <w:t xml:space="preserve">1. </w:t>
            </w:r>
            <w:r>
              <w:rPr>
                <w:rFonts w:cs="Arial"/>
                <w:color w:val="000000"/>
              </w:rPr>
              <w:t xml:space="preserve">Hobsbawm, E. (2011) “La revolución industrial”, </w:t>
            </w:r>
            <w:r>
              <w:rPr>
                <w:rFonts w:cs="Arial"/>
                <w:i/>
                <w:color w:val="000000"/>
              </w:rPr>
              <w:t>La era de la revolución</w:t>
            </w:r>
            <w:r>
              <w:rPr>
                <w:rFonts w:cs="Arial"/>
                <w:color w:val="000000"/>
              </w:rPr>
              <w:t>, 1789-1848, cap. 2</w:t>
            </w:r>
            <w:r>
              <w:rPr>
                <w:rFonts w:cs="Arial"/>
                <w:lang w:val="es-ES"/>
              </w:rPr>
              <w:t>.</w:t>
            </w:r>
          </w:p>
          <w:p w14:paraId="53C62B7C" w14:textId="77777777" w:rsidR="000D2967" w:rsidRDefault="00B14EAD">
            <w:pPr>
              <w:spacing w:after="0" w:line="240" w:lineRule="auto"/>
              <w:jc w:val="both"/>
            </w:pPr>
            <w:r>
              <w:rPr>
                <w:rFonts w:cs="Arial"/>
                <w:lang w:val="es-ES"/>
              </w:rPr>
              <w:t xml:space="preserve">2. Hobsbawm, E. (1998) “La revolución centenaria”, “La economía cambia de ritmo”, “La era del Imperio”, “Hacia la revolución” y “De la paz a la guerra”, </w:t>
            </w:r>
            <w:r>
              <w:rPr>
                <w:rFonts w:cs="Arial"/>
                <w:i/>
                <w:lang w:val="es-ES"/>
              </w:rPr>
              <w:t>La era del Imperio</w:t>
            </w:r>
            <w:r>
              <w:rPr>
                <w:rFonts w:cs="Arial"/>
                <w:lang w:val="es-ES"/>
              </w:rPr>
              <w:t>, 1875-1914, Ed. Crítica, Buenos Aires, caps. 1, 2, 3 y 4 (Referencia Catálogo Bello:</w:t>
            </w:r>
            <w:r>
              <w:rPr>
                <w:rFonts w:cs="Arial"/>
                <w:lang w:val="es-ES"/>
              </w:rPr>
              <w:t xml:space="preserve"> 940.28 H684a.E).</w:t>
            </w:r>
          </w:p>
          <w:p w14:paraId="747F09D6" w14:textId="77777777" w:rsidR="000D2967" w:rsidRDefault="00B14EAD">
            <w:pPr>
              <w:spacing w:after="0" w:line="240" w:lineRule="auto"/>
              <w:jc w:val="both"/>
            </w:pPr>
            <w:r>
              <w:rPr>
                <w:rFonts w:cs="Arial"/>
                <w:lang w:val="es-ES"/>
              </w:rPr>
              <w:t xml:space="preserve">3. </w:t>
            </w:r>
            <w:proofErr w:type="spellStart"/>
            <w:r>
              <w:rPr>
                <w:rFonts w:cs="Arial"/>
                <w:lang w:val="es-ES"/>
              </w:rPr>
              <w:t>Lowe</w:t>
            </w:r>
            <w:proofErr w:type="spellEnd"/>
            <w:r>
              <w:rPr>
                <w:rFonts w:cs="Arial"/>
                <w:lang w:val="es-ES"/>
              </w:rPr>
              <w:t xml:space="preserve">, N. (1989) “La Segunda Guerra Mundial”, </w:t>
            </w:r>
            <w:r>
              <w:rPr>
                <w:rFonts w:cs="Arial"/>
                <w:i/>
                <w:lang w:val="es-ES"/>
              </w:rPr>
              <w:t>Guía Ilustrada de la Historia Moderna</w:t>
            </w:r>
            <w:r>
              <w:rPr>
                <w:rFonts w:cs="Arial"/>
                <w:lang w:val="es-ES"/>
              </w:rPr>
              <w:t>, Fondo de Cultura Económica, México, cap. XV.</w:t>
            </w:r>
          </w:p>
          <w:p w14:paraId="48A9561F" w14:textId="77777777" w:rsidR="000D2967" w:rsidRDefault="00B14EAD">
            <w:pPr>
              <w:spacing w:after="0" w:line="240" w:lineRule="auto"/>
              <w:jc w:val="both"/>
            </w:pPr>
            <w:r>
              <w:rPr>
                <w:rFonts w:cs="Arial"/>
                <w:lang w:val="es-ES"/>
              </w:rPr>
              <w:t xml:space="preserve">4. Fontana, J. (2011), “El nuevo rumbo de la Guerra Fría”, “El nuevo imperio norteamericano”, “Una crisis </w:t>
            </w:r>
            <w:r>
              <w:rPr>
                <w:rFonts w:cs="Arial"/>
                <w:lang w:val="es-ES"/>
              </w:rPr>
              <w:t xml:space="preserve">global” y “Al final del recorrido: el triunfo del capitalismo realmente existente”, </w:t>
            </w:r>
            <w:r>
              <w:rPr>
                <w:rFonts w:cs="Arial"/>
                <w:i/>
                <w:lang w:val="es-ES"/>
              </w:rPr>
              <w:t>Por el bien del Imperio. Una historia del mundo desde 1945</w:t>
            </w:r>
            <w:r>
              <w:rPr>
                <w:rFonts w:cs="Arial"/>
                <w:lang w:val="es-ES"/>
              </w:rPr>
              <w:t>, Pasado y Presente, Barcelona, caps. 15, 16, 18 y 19.</w:t>
            </w:r>
          </w:p>
          <w:p w14:paraId="2359B503" w14:textId="77777777" w:rsidR="000D2967" w:rsidRDefault="00B14EAD">
            <w:pPr>
              <w:spacing w:after="0" w:line="240" w:lineRule="auto"/>
              <w:jc w:val="both"/>
            </w:pPr>
            <w:r>
              <w:rPr>
                <w:rFonts w:cs="Arial"/>
                <w:lang w:val="es-ES"/>
              </w:rPr>
              <w:t xml:space="preserve">5. </w:t>
            </w:r>
            <w:r>
              <w:rPr>
                <w:rFonts w:cs="Arial"/>
                <w:bCs/>
                <w:lang w:val="es-ES"/>
              </w:rPr>
              <w:t xml:space="preserve">Del Pozo, J. (2002) </w:t>
            </w:r>
            <w:r>
              <w:rPr>
                <w:rFonts w:cs="Arial"/>
                <w:bCs/>
                <w:i/>
                <w:lang w:val="es-ES"/>
              </w:rPr>
              <w:t>Historia de América Latina y el Cari</w:t>
            </w:r>
            <w:r>
              <w:rPr>
                <w:rFonts w:cs="Arial"/>
                <w:bCs/>
                <w:i/>
                <w:lang w:val="es-ES"/>
              </w:rPr>
              <w:t>be</w:t>
            </w:r>
            <w:r>
              <w:rPr>
                <w:rFonts w:cs="Arial"/>
                <w:bCs/>
                <w:lang w:val="es-ES"/>
              </w:rPr>
              <w:t>. 1825-2002. LOM ediciones, Santiago,. (Referencia Catálogo Bello: 980 P893h)</w:t>
            </w:r>
          </w:p>
          <w:p w14:paraId="4381EE16" w14:textId="77777777" w:rsidR="000D2967" w:rsidRDefault="00B14EAD">
            <w:pPr>
              <w:spacing w:after="0" w:line="240" w:lineRule="auto"/>
              <w:jc w:val="both"/>
            </w:pPr>
            <w:r>
              <w:rPr>
                <w:rFonts w:cs="Arial"/>
                <w:bCs/>
                <w:lang w:val="es-ES"/>
              </w:rPr>
              <w:t xml:space="preserve">6. </w:t>
            </w:r>
            <w:proofErr w:type="spellStart"/>
            <w:r>
              <w:rPr>
                <w:rFonts w:cs="Arial"/>
                <w:bCs/>
                <w:color w:val="000000"/>
                <w:lang w:val="es-ES"/>
              </w:rPr>
              <w:t>Vitale</w:t>
            </w:r>
            <w:proofErr w:type="spellEnd"/>
            <w:r>
              <w:rPr>
                <w:rFonts w:cs="Arial"/>
                <w:bCs/>
                <w:color w:val="000000"/>
                <w:lang w:val="es-ES"/>
              </w:rPr>
              <w:t xml:space="preserve">, L. (1997) </w:t>
            </w:r>
            <w:r>
              <w:rPr>
                <w:rFonts w:cs="Arial"/>
                <w:bCs/>
                <w:i/>
                <w:color w:val="000000"/>
                <w:lang w:val="es-ES"/>
              </w:rPr>
              <w:t xml:space="preserve">Historia Social Comparada de los pueblos de América Latina. </w:t>
            </w:r>
            <w:r>
              <w:rPr>
                <w:rFonts w:cs="Arial"/>
                <w:bCs/>
                <w:color w:val="000000"/>
                <w:lang w:val="es-ES"/>
              </w:rPr>
              <w:t>Vol. II y III. Edición Digital. (Referencia Catálogo Bello: 980 V836h)</w:t>
            </w:r>
          </w:p>
          <w:p w14:paraId="6A978C18" w14:textId="77777777" w:rsidR="000D2967" w:rsidRDefault="00B14EAD">
            <w:pPr>
              <w:spacing w:after="0" w:line="240" w:lineRule="auto"/>
              <w:jc w:val="both"/>
            </w:pPr>
            <w:r>
              <w:rPr>
                <w:rFonts w:cs="Arial"/>
                <w:bCs/>
                <w:color w:val="000000"/>
                <w:lang w:val="es-ES"/>
              </w:rPr>
              <w:t>7. Vilar, P. (1973) La p</w:t>
            </w:r>
            <w:r>
              <w:rPr>
                <w:rFonts w:cs="Arial"/>
                <w:bCs/>
                <w:color w:val="000000"/>
                <w:lang w:val="es-ES"/>
              </w:rPr>
              <w:t xml:space="preserve">articipación de las clases populares en los movimientos de independencia en América Latina. En: </w:t>
            </w:r>
            <w:r>
              <w:rPr>
                <w:rFonts w:cs="Arial"/>
                <w:bCs/>
                <w:i/>
                <w:color w:val="000000"/>
                <w:lang w:val="es-ES"/>
              </w:rPr>
              <w:t xml:space="preserve">Pierre </w:t>
            </w:r>
            <w:proofErr w:type="spellStart"/>
            <w:r>
              <w:rPr>
                <w:rFonts w:cs="Arial"/>
                <w:bCs/>
                <w:i/>
                <w:color w:val="000000"/>
                <w:lang w:val="es-ES"/>
              </w:rPr>
              <w:t>Chaunu</w:t>
            </w:r>
            <w:proofErr w:type="spellEnd"/>
            <w:r>
              <w:rPr>
                <w:rFonts w:cs="Arial"/>
                <w:bCs/>
                <w:i/>
                <w:color w:val="000000"/>
                <w:lang w:val="es-ES"/>
              </w:rPr>
              <w:t>, La Independencia en América Latina</w:t>
            </w:r>
            <w:r>
              <w:rPr>
                <w:rFonts w:cs="Arial"/>
                <w:bCs/>
                <w:color w:val="000000"/>
                <w:lang w:val="es-ES"/>
              </w:rPr>
              <w:t>, Ed. Nueva Visión, Bs. As.</w:t>
            </w:r>
          </w:p>
          <w:p w14:paraId="52E66735" w14:textId="77777777" w:rsidR="000D2967" w:rsidRDefault="00B14EAD">
            <w:pPr>
              <w:spacing w:after="0" w:line="240" w:lineRule="auto"/>
              <w:jc w:val="both"/>
              <w:rPr>
                <w:rFonts w:cs="Arial"/>
                <w:bCs/>
                <w:color w:val="000000"/>
                <w:lang w:val="es-ES"/>
              </w:rPr>
            </w:pPr>
            <w:r>
              <w:rPr>
                <w:rFonts w:cs="Arial"/>
                <w:bCs/>
                <w:color w:val="000000"/>
                <w:lang w:val="es-ES"/>
              </w:rPr>
              <w:t>8. Fernández Retamal, Roberto (2016). “Caliban”. En: Pensamiento anticolonial de Nu</w:t>
            </w:r>
            <w:r>
              <w:rPr>
                <w:rFonts w:cs="Arial"/>
                <w:bCs/>
                <w:color w:val="000000"/>
                <w:lang w:val="es-ES"/>
              </w:rPr>
              <w:t>estra América. Buenos Aires: CLACSO-Casa de las Américas.</w:t>
            </w:r>
          </w:p>
          <w:p w14:paraId="6C124B12" w14:textId="77777777" w:rsidR="000D2967" w:rsidRDefault="00B14EAD">
            <w:pPr>
              <w:spacing w:after="0" w:line="240" w:lineRule="auto"/>
              <w:jc w:val="both"/>
              <w:rPr>
                <w:rFonts w:cs="Arial"/>
                <w:bCs/>
                <w:color w:val="000000"/>
                <w:lang w:val="es-ES"/>
              </w:rPr>
            </w:pPr>
            <w:r>
              <w:rPr>
                <w:rFonts w:cs="Arial"/>
                <w:bCs/>
                <w:color w:val="000000"/>
                <w:lang w:val="es-ES"/>
              </w:rPr>
              <w:lastRenderedPageBreak/>
              <w:t xml:space="preserve">9. </w:t>
            </w:r>
            <w:proofErr w:type="spellStart"/>
            <w:r>
              <w:rPr>
                <w:rFonts w:cs="Arial"/>
                <w:bCs/>
                <w:color w:val="000000"/>
                <w:lang w:val="es-ES"/>
              </w:rPr>
              <w:t>Arkonada</w:t>
            </w:r>
            <w:proofErr w:type="spellEnd"/>
            <w:r>
              <w:rPr>
                <w:rFonts w:cs="Arial"/>
                <w:bCs/>
                <w:color w:val="000000"/>
                <w:lang w:val="es-ES"/>
              </w:rPr>
              <w:t xml:space="preserve">, </w:t>
            </w:r>
            <w:proofErr w:type="spellStart"/>
            <w:r>
              <w:rPr>
                <w:rFonts w:cs="Arial"/>
                <w:bCs/>
                <w:color w:val="000000"/>
                <w:lang w:val="es-ES"/>
              </w:rPr>
              <w:t>Katu</w:t>
            </w:r>
            <w:proofErr w:type="spellEnd"/>
            <w:r>
              <w:rPr>
                <w:rFonts w:cs="Arial"/>
                <w:bCs/>
                <w:color w:val="000000"/>
                <w:lang w:val="es-ES"/>
              </w:rPr>
              <w:t xml:space="preserve"> y </w:t>
            </w:r>
            <w:proofErr w:type="spellStart"/>
            <w:r>
              <w:rPr>
                <w:rFonts w:cs="Arial"/>
                <w:bCs/>
                <w:color w:val="000000"/>
                <w:lang w:val="es-ES"/>
              </w:rPr>
              <w:t>Klachko</w:t>
            </w:r>
            <w:proofErr w:type="spellEnd"/>
            <w:r>
              <w:rPr>
                <w:rFonts w:cs="Arial"/>
                <w:bCs/>
                <w:color w:val="000000"/>
                <w:lang w:val="es-ES"/>
              </w:rPr>
              <w:t>, Paula (2016). Desde abajo / Desde arriba. De la resistencia a los gobiernos populares: escenarios y horizontes del cambio de época en América Latina.  La Habana: Editori</w:t>
            </w:r>
            <w:r>
              <w:rPr>
                <w:rFonts w:cs="Arial"/>
                <w:bCs/>
                <w:color w:val="000000"/>
                <w:lang w:val="es-ES"/>
              </w:rPr>
              <w:t xml:space="preserve">al Caminos. </w:t>
            </w:r>
          </w:p>
          <w:p w14:paraId="14D6E42F" w14:textId="77777777" w:rsidR="000D2967" w:rsidRDefault="000D2967">
            <w:pPr>
              <w:spacing w:after="0" w:line="240" w:lineRule="auto"/>
              <w:jc w:val="both"/>
              <w:rPr>
                <w:rFonts w:eastAsia="Times New Roman" w:cs="Arial"/>
                <w:bCs/>
                <w:color w:val="000000"/>
                <w:kern w:val="2"/>
                <w:lang w:val="es-ES" w:eastAsia="es-CL"/>
              </w:rPr>
            </w:pPr>
          </w:p>
          <w:p w14:paraId="12FC8F42" w14:textId="77777777" w:rsidR="000D2967" w:rsidRDefault="00B14EAD">
            <w:pPr>
              <w:spacing w:after="0" w:line="240" w:lineRule="auto"/>
              <w:jc w:val="both"/>
              <w:rPr>
                <w:rFonts w:eastAsia="Times New Roman" w:cs="Calibri"/>
                <w:bCs/>
                <w:color w:val="000000"/>
                <w:kern w:val="2"/>
                <w:lang w:val="es-ES_tradnl" w:eastAsia="es-CL"/>
              </w:rPr>
            </w:pPr>
            <w:r>
              <w:rPr>
                <w:rFonts w:eastAsia="Times New Roman" w:cs="Calibri"/>
                <w:bCs/>
                <w:color w:val="000000"/>
                <w:kern w:val="2"/>
                <w:lang w:val="es-ES_tradnl" w:eastAsia="es-CL"/>
              </w:rPr>
              <w:t>2.</w:t>
            </w:r>
          </w:p>
          <w:p w14:paraId="7E108295" w14:textId="77777777" w:rsidR="000D2967" w:rsidRDefault="00B14EAD">
            <w:pPr>
              <w:spacing w:after="0" w:line="240" w:lineRule="auto"/>
              <w:jc w:val="both"/>
              <w:rPr>
                <w:rFonts w:eastAsia="Times New Roman" w:cs="Calibri"/>
                <w:b/>
                <w:lang w:eastAsia="es-CL"/>
              </w:rPr>
            </w:pPr>
            <w:r>
              <w:rPr>
                <w:rFonts w:eastAsia="Times New Roman" w:cs="Calibri"/>
                <w:b/>
                <w:lang w:eastAsia="es-CL"/>
              </w:rPr>
              <w:t>Bibliografía Complementaria</w:t>
            </w:r>
          </w:p>
          <w:p w14:paraId="5A6E8364" w14:textId="77777777" w:rsidR="000D2967" w:rsidRDefault="00B14EAD">
            <w:pPr>
              <w:spacing w:after="0" w:line="240" w:lineRule="auto"/>
              <w:jc w:val="both"/>
            </w:pPr>
            <w:r>
              <w:rPr>
                <w:rFonts w:eastAsia="Times New Roman" w:cs="Calibri"/>
                <w:lang w:eastAsia="es-CL"/>
              </w:rPr>
              <w:t xml:space="preserve">1. </w:t>
            </w:r>
            <w:proofErr w:type="spellStart"/>
            <w:r>
              <w:rPr>
                <w:rFonts w:eastAsia="Times New Roman" w:cs="Arial"/>
                <w:bCs/>
                <w:color w:val="000000"/>
                <w:lang w:val="es-ES" w:eastAsia="es-CL"/>
              </w:rPr>
              <w:t>Godio</w:t>
            </w:r>
            <w:proofErr w:type="spellEnd"/>
            <w:r>
              <w:rPr>
                <w:rFonts w:eastAsia="Times New Roman" w:cs="Arial"/>
                <w:bCs/>
                <w:color w:val="000000"/>
                <w:lang w:val="es-ES" w:eastAsia="es-CL"/>
              </w:rPr>
              <w:t xml:space="preserve">, J. (1983) </w:t>
            </w:r>
            <w:r>
              <w:rPr>
                <w:rFonts w:eastAsia="Times New Roman" w:cs="Arial"/>
                <w:bCs/>
                <w:i/>
                <w:color w:val="000000"/>
                <w:lang w:val="es-ES" w:eastAsia="es-CL"/>
              </w:rPr>
              <w:t>Historia del Movimiento Obrero Latinoamericano</w:t>
            </w:r>
            <w:r>
              <w:rPr>
                <w:rFonts w:eastAsia="Times New Roman" w:cs="Arial"/>
                <w:bCs/>
                <w:color w:val="000000"/>
                <w:lang w:val="es-ES" w:eastAsia="es-CL"/>
              </w:rPr>
              <w:t xml:space="preserve">, II Volúmenes, Ed. Nueva Sociedad, México,. </w:t>
            </w:r>
          </w:p>
          <w:p w14:paraId="5CB37781" w14:textId="77777777" w:rsidR="000D2967" w:rsidRDefault="00B14EAD">
            <w:pPr>
              <w:spacing w:after="0" w:line="240" w:lineRule="auto"/>
              <w:jc w:val="both"/>
            </w:pPr>
            <w:r>
              <w:rPr>
                <w:rFonts w:eastAsia="Times New Roman" w:cs="Calibri"/>
                <w:lang w:eastAsia="es-CL"/>
              </w:rPr>
              <w:t xml:space="preserve">2. </w:t>
            </w:r>
            <w:proofErr w:type="spellStart"/>
            <w:r>
              <w:rPr>
                <w:rFonts w:eastAsia="Times New Roman" w:cs="Arial"/>
                <w:bCs/>
                <w:color w:val="000000"/>
                <w:kern w:val="2"/>
                <w:lang w:val="es-ES" w:eastAsia="es-CL"/>
              </w:rPr>
              <w:t>Bethell</w:t>
            </w:r>
            <w:proofErr w:type="spellEnd"/>
            <w:r>
              <w:rPr>
                <w:rFonts w:eastAsia="Times New Roman" w:cs="Arial"/>
                <w:bCs/>
                <w:color w:val="000000"/>
                <w:kern w:val="2"/>
                <w:lang w:val="es-ES" w:eastAsia="es-CL"/>
              </w:rPr>
              <w:t xml:space="preserve">, L. (1997) </w:t>
            </w:r>
            <w:r>
              <w:rPr>
                <w:rFonts w:eastAsia="Times New Roman" w:cs="Arial"/>
                <w:bCs/>
                <w:i/>
                <w:color w:val="000000"/>
                <w:kern w:val="2"/>
                <w:lang w:val="es-ES" w:eastAsia="es-CL"/>
              </w:rPr>
              <w:t>Historia de América Latina</w:t>
            </w:r>
            <w:r>
              <w:rPr>
                <w:rFonts w:eastAsia="Times New Roman" w:cs="Arial"/>
                <w:bCs/>
                <w:color w:val="000000"/>
                <w:kern w:val="2"/>
                <w:lang w:val="es-ES" w:eastAsia="es-CL"/>
              </w:rPr>
              <w:t xml:space="preserve"> (Varios volúmenes), Ed. Crítica, Cambridge </w:t>
            </w:r>
            <w:proofErr w:type="spellStart"/>
            <w:r>
              <w:rPr>
                <w:rFonts w:eastAsia="Times New Roman" w:cs="Arial"/>
                <w:bCs/>
                <w:color w:val="000000"/>
                <w:kern w:val="2"/>
                <w:lang w:val="es-ES" w:eastAsia="es-CL"/>
              </w:rPr>
              <w:t>University</w:t>
            </w:r>
            <w:proofErr w:type="spellEnd"/>
            <w:r>
              <w:rPr>
                <w:rFonts w:eastAsia="Times New Roman" w:cs="Arial"/>
                <w:bCs/>
                <w:color w:val="000000"/>
                <w:kern w:val="2"/>
                <w:lang w:val="es-ES" w:eastAsia="es-CL"/>
              </w:rPr>
              <w:t xml:space="preserve"> </w:t>
            </w:r>
            <w:proofErr w:type="spellStart"/>
            <w:r>
              <w:rPr>
                <w:rFonts w:eastAsia="Times New Roman" w:cs="Arial"/>
                <w:bCs/>
                <w:color w:val="000000"/>
                <w:kern w:val="2"/>
                <w:lang w:val="es-ES" w:eastAsia="es-CL"/>
              </w:rPr>
              <w:t>Press</w:t>
            </w:r>
            <w:proofErr w:type="spellEnd"/>
            <w:r>
              <w:rPr>
                <w:rFonts w:eastAsia="Times New Roman" w:cs="Arial"/>
                <w:bCs/>
                <w:color w:val="000000"/>
                <w:kern w:val="2"/>
                <w:lang w:val="es-ES" w:eastAsia="es-CL"/>
              </w:rPr>
              <w:t>, España.</w:t>
            </w:r>
          </w:p>
          <w:p w14:paraId="6BFC8A72" w14:textId="77777777" w:rsidR="000D2967" w:rsidRDefault="00B14EAD">
            <w:pPr>
              <w:spacing w:after="0" w:line="240" w:lineRule="auto"/>
              <w:jc w:val="both"/>
            </w:pPr>
            <w:r>
              <w:rPr>
                <w:rFonts w:eastAsia="Times New Roman" w:cs="Arial"/>
                <w:bCs/>
                <w:color w:val="000000"/>
                <w:kern w:val="2"/>
                <w:lang w:val="es-ES" w:eastAsia="es-CL"/>
              </w:rPr>
              <w:t xml:space="preserve">3. </w:t>
            </w:r>
            <w:proofErr w:type="spellStart"/>
            <w:r>
              <w:rPr>
                <w:rFonts w:eastAsia="Times New Roman" w:cs="Arial"/>
                <w:bCs/>
                <w:color w:val="000000"/>
                <w:kern w:val="2"/>
                <w:lang w:val="es-ES" w:eastAsia="es-CL"/>
              </w:rPr>
              <w:t>Womack</w:t>
            </w:r>
            <w:proofErr w:type="spellEnd"/>
            <w:r>
              <w:rPr>
                <w:rFonts w:eastAsia="Times New Roman" w:cs="Arial"/>
                <w:bCs/>
                <w:color w:val="000000"/>
                <w:kern w:val="2"/>
                <w:lang w:val="es-ES" w:eastAsia="es-CL"/>
              </w:rPr>
              <w:t xml:space="preserve">, J. (1974) </w:t>
            </w:r>
            <w:r>
              <w:rPr>
                <w:rFonts w:eastAsia="Times New Roman" w:cs="Arial"/>
                <w:bCs/>
                <w:i/>
                <w:color w:val="000000"/>
                <w:kern w:val="2"/>
                <w:lang w:val="es-ES" w:eastAsia="es-CL"/>
              </w:rPr>
              <w:t>Zapata y la revolución mexicana.</w:t>
            </w:r>
            <w:r>
              <w:rPr>
                <w:rFonts w:eastAsia="Times New Roman" w:cs="Arial"/>
                <w:bCs/>
                <w:color w:val="000000"/>
                <w:kern w:val="2"/>
                <w:lang w:val="es-ES" w:eastAsia="es-CL"/>
              </w:rPr>
              <w:t xml:space="preserve"> Ediciones siglo XXI, México</w:t>
            </w:r>
          </w:p>
          <w:p w14:paraId="5258178C" w14:textId="77777777" w:rsidR="000D2967" w:rsidRDefault="00B14EAD">
            <w:pPr>
              <w:spacing w:after="0" w:line="240" w:lineRule="auto"/>
              <w:jc w:val="both"/>
            </w:pPr>
            <w:r>
              <w:rPr>
                <w:rFonts w:cs="Arial"/>
                <w:bCs/>
                <w:lang w:val="es-ES"/>
              </w:rPr>
              <w:t xml:space="preserve">4. Di Tella, T. (1993) </w:t>
            </w:r>
            <w:r>
              <w:rPr>
                <w:rFonts w:cs="Arial"/>
                <w:bCs/>
                <w:i/>
                <w:lang w:val="es-ES"/>
              </w:rPr>
              <w:t>Historia de los partidos políticos en América Latina, Siglo XX,</w:t>
            </w:r>
            <w:r>
              <w:rPr>
                <w:rFonts w:cs="Arial"/>
                <w:bCs/>
                <w:lang w:val="es-ES"/>
              </w:rPr>
              <w:t xml:space="preserve"> Ed. FCE, México,. (Referencia Catálogo Bello: 29.302) </w:t>
            </w:r>
          </w:p>
          <w:p w14:paraId="188C3180" w14:textId="77777777" w:rsidR="000D2967" w:rsidRDefault="00B14EAD">
            <w:pPr>
              <w:spacing w:after="0" w:line="240" w:lineRule="auto"/>
              <w:jc w:val="both"/>
            </w:pPr>
            <w:r>
              <w:rPr>
                <w:rFonts w:eastAsia="Times New Roman" w:cs="Arial"/>
                <w:bCs/>
                <w:color w:val="000000"/>
                <w:kern w:val="2"/>
                <w:lang w:val="es-ES" w:eastAsia="es-CL"/>
              </w:rPr>
              <w:t xml:space="preserve">5. </w:t>
            </w:r>
            <w:proofErr w:type="spellStart"/>
            <w:r>
              <w:rPr>
                <w:rFonts w:eastAsia="Times New Roman" w:cs="Arial"/>
                <w:bCs/>
                <w:color w:val="000000"/>
                <w:kern w:val="2"/>
                <w:lang w:val="es-ES" w:eastAsia="es-CL"/>
              </w:rPr>
              <w:t>Halperin</w:t>
            </w:r>
            <w:proofErr w:type="spellEnd"/>
            <w:r>
              <w:rPr>
                <w:rFonts w:eastAsia="Times New Roman" w:cs="Arial"/>
                <w:bCs/>
                <w:color w:val="000000"/>
                <w:kern w:val="2"/>
                <w:lang w:val="es-ES" w:eastAsia="es-CL"/>
              </w:rPr>
              <w:t xml:space="preserve">, T. (2000) </w:t>
            </w:r>
            <w:r>
              <w:rPr>
                <w:rFonts w:eastAsia="Times New Roman" w:cs="Arial"/>
                <w:bCs/>
                <w:i/>
                <w:color w:val="000000"/>
                <w:kern w:val="2"/>
                <w:lang w:val="es-ES" w:eastAsia="es-CL"/>
              </w:rPr>
              <w:t>Historia Contemporánea de América Latina</w:t>
            </w:r>
            <w:r>
              <w:rPr>
                <w:rFonts w:eastAsia="Times New Roman" w:cs="Arial"/>
                <w:bCs/>
                <w:color w:val="000000"/>
                <w:kern w:val="2"/>
                <w:lang w:val="es-ES" w:eastAsia="es-CL"/>
              </w:rPr>
              <w:t>, Ed. FCE, México,. (Referencia Catálogo Bello: 980 H195h 2001).</w:t>
            </w:r>
          </w:p>
          <w:p w14:paraId="5553B498" w14:textId="77777777" w:rsidR="000D2967" w:rsidRDefault="00B14EAD">
            <w:pPr>
              <w:spacing w:after="0" w:line="240" w:lineRule="auto"/>
              <w:jc w:val="both"/>
            </w:pPr>
            <w:r>
              <w:rPr>
                <w:rFonts w:eastAsia="Times New Roman" w:cs="Arial"/>
                <w:bCs/>
                <w:color w:val="000000"/>
                <w:kern w:val="2"/>
                <w:lang w:val="es-ES" w:eastAsia="es-CL"/>
              </w:rPr>
              <w:t xml:space="preserve">6. </w:t>
            </w:r>
            <w:r>
              <w:rPr>
                <w:rFonts w:eastAsia="Times New Roman" w:cs="Arial"/>
                <w:bCs/>
                <w:color w:val="000000"/>
                <w:kern w:val="2"/>
                <w:lang w:eastAsia="es-CL"/>
              </w:rPr>
              <w:t xml:space="preserve">Hobsbawm, E. (1996) “La guerra fría”, “Los años dorados” y “El final </w:t>
            </w:r>
            <w:r>
              <w:rPr>
                <w:rFonts w:eastAsia="Times New Roman" w:cs="Arial"/>
                <w:bCs/>
                <w:color w:val="000000"/>
                <w:kern w:val="2"/>
                <w:lang w:eastAsia="es-CL"/>
              </w:rPr>
              <w:t xml:space="preserve">del socialismo”, </w:t>
            </w:r>
            <w:r>
              <w:rPr>
                <w:rFonts w:eastAsia="Times New Roman" w:cs="Arial"/>
                <w:bCs/>
                <w:i/>
                <w:color w:val="000000"/>
                <w:kern w:val="2"/>
                <w:lang w:eastAsia="es-CL"/>
              </w:rPr>
              <w:t>Historia del Siglo XX</w:t>
            </w:r>
            <w:r>
              <w:rPr>
                <w:rFonts w:eastAsia="Times New Roman" w:cs="Arial"/>
                <w:bCs/>
                <w:color w:val="000000"/>
                <w:kern w:val="2"/>
                <w:lang w:eastAsia="es-CL"/>
              </w:rPr>
              <w:t>, caps. 8, 9 y 16 (Referencia Catálogo Bello: 909.82 H684e.E).</w:t>
            </w:r>
          </w:p>
          <w:p w14:paraId="074414CC" w14:textId="77777777" w:rsidR="000D2967" w:rsidRDefault="00B14EAD">
            <w:pPr>
              <w:spacing w:after="0" w:line="240" w:lineRule="auto"/>
              <w:jc w:val="both"/>
            </w:pPr>
            <w:r>
              <w:rPr>
                <w:rFonts w:cs="Arial"/>
                <w:lang w:val="es-ES"/>
              </w:rPr>
              <w:t>7. Hughes, S. (1966), “Los orígenes del conflicto mundial”, “La Primera Guerra Mundial”, “Características del conflicto” y “El balance final de la guerra”,</w:t>
            </w:r>
            <w:r>
              <w:rPr>
                <w:rFonts w:cs="Arial"/>
                <w:lang w:val="es-ES"/>
              </w:rPr>
              <w:t xml:space="preserve"> “Los regímenes fascistas” y “El sistema estalinista”, </w:t>
            </w:r>
            <w:r>
              <w:rPr>
                <w:rFonts w:cs="Arial"/>
                <w:i/>
                <w:lang w:val="es-ES"/>
              </w:rPr>
              <w:t>Historia de Europa Contemporánea</w:t>
            </w:r>
            <w:r>
              <w:rPr>
                <w:rFonts w:cs="Arial"/>
                <w:lang w:val="es-ES"/>
              </w:rPr>
              <w:t xml:space="preserve">, Editorial del Pacífico, Santiago, caps. 1.VI, 2, 2.I, 2.V, 9 y 10 (Referencia Catálogo Bello:  940.5 H893 </w:t>
            </w:r>
            <w:proofErr w:type="spellStart"/>
            <w:r>
              <w:rPr>
                <w:rFonts w:cs="Arial"/>
                <w:lang w:val="es-ES"/>
              </w:rPr>
              <w:t>c.E</w:t>
            </w:r>
            <w:proofErr w:type="spellEnd"/>
            <w:r>
              <w:rPr>
                <w:rFonts w:cs="Arial"/>
                <w:lang w:val="es-ES"/>
              </w:rPr>
              <w:t>).</w:t>
            </w:r>
          </w:p>
          <w:p w14:paraId="59DE86F6" w14:textId="77777777" w:rsidR="000D2967" w:rsidRDefault="00B14EAD">
            <w:pPr>
              <w:spacing w:after="0" w:line="240" w:lineRule="auto"/>
              <w:jc w:val="both"/>
            </w:pPr>
            <w:r>
              <w:rPr>
                <w:rFonts w:eastAsia="Times New Roman" w:cs="Arial"/>
                <w:bCs/>
                <w:color w:val="000000"/>
                <w:kern w:val="2"/>
                <w:lang w:val="es-ES" w:eastAsia="es-CL"/>
              </w:rPr>
              <w:t xml:space="preserve">8. </w:t>
            </w:r>
            <w:proofErr w:type="spellStart"/>
            <w:r>
              <w:rPr>
                <w:rFonts w:eastAsia="Times New Roman" w:cs="Arial"/>
                <w:bCs/>
                <w:color w:val="000000"/>
                <w:kern w:val="2"/>
                <w:lang w:val="es-ES" w:eastAsia="es-CL"/>
              </w:rPr>
              <w:t>Carr</w:t>
            </w:r>
            <w:proofErr w:type="spellEnd"/>
            <w:r>
              <w:rPr>
                <w:rFonts w:eastAsia="Times New Roman" w:cs="Arial"/>
                <w:bCs/>
                <w:color w:val="000000"/>
                <w:kern w:val="2"/>
                <w:lang w:val="es-ES" w:eastAsia="es-CL"/>
              </w:rPr>
              <w:t xml:space="preserve">, E. (1972), “El hombre y su instrumento”, </w:t>
            </w:r>
            <w:r>
              <w:rPr>
                <w:rFonts w:eastAsia="Times New Roman" w:cs="Arial"/>
                <w:bCs/>
                <w:i/>
                <w:color w:val="000000"/>
                <w:kern w:val="2"/>
                <w:lang w:val="es-ES" w:eastAsia="es-CL"/>
              </w:rPr>
              <w:t>La re</w:t>
            </w:r>
            <w:r>
              <w:rPr>
                <w:rFonts w:eastAsia="Times New Roman" w:cs="Arial"/>
                <w:bCs/>
                <w:i/>
                <w:color w:val="000000"/>
                <w:kern w:val="2"/>
                <w:lang w:val="es-ES" w:eastAsia="es-CL"/>
              </w:rPr>
              <w:t xml:space="preserve">volución bolchevique (1917-1923) </w:t>
            </w:r>
            <w:r>
              <w:rPr>
                <w:rFonts w:eastAsia="Times New Roman" w:cs="Arial"/>
                <w:bCs/>
                <w:color w:val="000000"/>
                <w:kern w:val="2"/>
                <w:lang w:val="es-ES" w:eastAsia="es-CL"/>
              </w:rPr>
              <w:t>(Referencia Catálogo Bello: 947.084 C311h.E V.1)</w:t>
            </w:r>
          </w:p>
          <w:p w14:paraId="48EC75B1" w14:textId="77777777" w:rsidR="000D2967" w:rsidRDefault="00B14EAD">
            <w:pPr>
              <w:spacing w:after="0" w:line="240" w:lineRule="auto"/>
              <w:jc w:val="both"/>
            </w:pPr>
            <w:r>
              <w:rPr>
                <w:rFonts w:eastAsia="Times New Roman" w:cs="Arial"/>
                <w:bCs/>
                <w:color w:val="000000"/>
                <w:kern w:val="2"/>
                <w:lang w:val="es-ES" w:eastAsia="es-CL"/>
              </w:rPr>
              <w:t>9. Pinto, J. (editor) (2015): El orden y el bajo pueblo: los regímenes de Portales y Rosas frente al mundo popular. LOM Ediciones, Santiago (Referencia Catálogo Bello: 980.03</w:t>
            </w:r>
            <w:r>
              <w:rPr>
                <w:rFonts w:eastAsia="Times New Roman" w:cs="Arial"/>
                <w:bCs/>
                <w:color w:val="000000"/>
                <w:kern w:val="2"/>
                <w:lang w:val="es-ES" w:eastAsia="es-CL"/>
              </w:rPr>
              <w:t>1 O65)</w:t>
            </w:r>
          </w:p>
          <w:p w14:paraId="6E36246E" w14:textId="508DE4F4" w:rsidR="000D2967" w:rsidRDefault="00B14EAD">
            <w:pPr>
              <w:spacing w:after="0" w:line="240" w:lineRule="auto"/>
              <w:jc w:val="both"/>
            </w:pPr>
            <w:r>
              <w:rPr>
                <w:rFonts w:eastAsia="Times New Roman" w:cs="Arial"/>
                <w:bCs/>
                <w:color w:val="000000"/>
                <w:kern w:val="2"/>
                <w:lang w:val="es-ES" w:eastAsia="es-CL"/>
              </w:rPr>
              <w:t xml:space="preserve">10. </w:t>
            </w:r>
            <w:r>
              <w:rPr>
                <w:rFonts w:cs="Arial"/>
                <w:bCs/>
                <w:color w:val="000000"/>
                <w:lang w:val="es-ES"/>
              </w:rPr>
              <w:t xml:space="preserve">Guerra </w:t>
            </w:r>
            <w:proofErr w:type="spellStart"/>
            <w:r>
              <w:rPr>
                <w:rFonts w:cs="Arial"/>
                <w:bCs/>
                <w:color w:val="000000"/>
                <w:lang w:val="es-ES"/>
              </w:rPr>
              <w:t>Vilaboy</w:t>
            </w:r>
            <w:proofErr w:type="spellEnd"/>
            <w:r>
              <w:rPr>
                <w:rFonts w:cs="Arial"/>
                <w:bCs/>
                <w:color w:val="000000"/>
                <w:lang w:val="es-ES"/>
              </w:rPr>
              <w:t xml:space="preserve">, S. (2006) </w:t>
            </w:r>
            <w:r>
              <w:rPr>
                <w:rFonts w:cs="Arial"/>
                <w:bCs/>
                <w:i/>
                <w:iCs/>
                <w:color w:val="000000"/>
                <w:lang w:val="es-ES"/>
              </w:rPr>
              <w:t xml:space="preserve">Breve Historia de América Latina. </w:t>
            </w:r>
            <w:r>
              <w:rPr>
                <w:rFonts w:cs="Arial"/>
                <w:bCs/>
                <w:color w:val="000000"/>
                <w:lang w:val="es-ES"/>
              </w:rPr>
              <w:t>Editorial de Ciencias Sociales: La Habana.</w:t>
            </w:r>
          </w:p>
          <w:p w14:paraId="2E208A3F" w14:textId="77777777" w:rsidR="000D2967" w:rsidRDefault="000D2967">
            <w:pPr>
              <w:spacing w:after="0" w:line="240" w:lineRule="auto"/>
              <w:jc w:val="both"/>
              <w:rPr>
                <w:rFonts w:eastAsia="Times New Roman" w:cs="Calibri"/>
                <w:b/>
                <w:bCs/>
                <w:color w:val="000000"/>
                <w:kern w:val="2"/>
                <w:lang w:val="es-MX" w:eastAsia="es-CL"/>
              </w:rPr>
            </w:pPr>
          </w:p>
        </w:tc>
      </w:tr>
    </w:tbl>
    <w:p w14:paraId="7170127C" w14:textId="77777777" w:rsidR="000D2967" w:rsidRDefault="000D2967">
      <w:pPr>
        <w:jc w:val="both"/>
        <w:rPr>
          <w:rFonts w:cs="Calibri"/>
          <w:b/>
          <w:lang w:val="es-MX"/>
        </w:rPr>
      </w:pPr>
    </w:p>
    <w:sectPr w:rsidR="000D2967">
      <w:headerReference w:type="default" r:id="rId7"/>
      <w:pgSz w:w="15840" w:h="12240" w:orient="landscape"/>
      <w:pgMar w:top="1701" w:right="1418" w:bottom="1701" w:left="141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B524" w14:textId="77777777" w:rsidR="00B14EAD" w:rsidRDefault="00B14EAD">
      <w:pPr>
        <w:spacing w:after="0" w:line="240" w:lineRule="auto"/>
      </w:pPr>
      <w:r>
        <w:separator/>
      </w:r>
    </w:p>
  </w:endnote>
  <w:endnote w:type="continuationSeparator" w:id="0">
    <w:p w14:paraId="5810B672" w14:textId="77777777" w:rsidR="00B14EAD" w:rsidRDefault="00B1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iberation Serif">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3A473" w14:textId="77777777" w:rsidR="00B14EAD" w:rsidRDefault="00B14EAD">
      <w:pPr>
        <w:spacing w:after="0" w:line="240" w:lineRule="auto"/>
      </w:pPr>
      <w:r>
        <w:separator/>
      </w:r>
    </w:p>
  </w:footnote>
  <w:footnote w:type="continuationSeparator" w:id="0">
    <w:p w14:paraId="3F8AA6DC" w14:textId="77777777" w:rsidR="00B14EAD" w:rsidRDefault="00B1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90DC" w14:textId="77777777" w:rsidR="000D2967" w:rsidRDefault="00B14EAD">
    <w:pPr>
      <w:pStyle w:val="Encabezado"/>
    </w:pPr>
    <w:r>
      <w:rPr>
        <w:noProof/>
      </w:rPr>
      <w:drawing>
        <wp:inline distT="0" distB="0" distL="0" distR="0" wp14:anchorId="167E18FD" wp14:editId="7E915BD4">
          <wp:extent cx="2867025" cy="878840"/>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Alumno100\Downloads\Logo DPTO Trabajo Social UCH.jpg"/>
                  <pic:cNvPicPr>
                    <a:picLocks noChangeAspect="1" noChangeArrowheads="1"/>
                  </pic:cNvPicPr>
                </pic:nvPicPr>
                <pic:blipFill>
                  <a:blip r:embed="rId1"/>
                  <a:stretch>
                    <a:fillRect/>
                  </a:stretch>
                </pic:blipFill>
                <pic:spPr bwMode="auto">
                  <a:xfrm>
                    <a:off x="0" y="0"/>
                    <a:ext cx="2867025" cy="87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C3D"/>
    <w:multiLevelType w:val="multilevel"/>
    <w:tmpl w:val="88E89ADC"/>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145B35"/>
    <w:multiLevelType w:val="multilevel"/>
    <w:tmpl w:val="79CAA7C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4986551"/>
    <w:multiLevelType w:val="multilevel"/>
    <w:tmpl w:val="36C8ED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EA100A"/>
    <w:multiLevelType w:val="multilevel"/>
    <w:tmpl w:val="0308CC0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967"/>
    <w:rsid w:val="000D2967"/>
    <w:rsid w:val="007B1A5D"/>
    <w:rsid w:val="008E4485"/>
    <w:rsid w:val="00B14EAD"/>
    <w:rsid w:val="00BE34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4134"/>
  <w15:docId w15:val="{86F905F5-B8DD-4576-AA3B-314BCE63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2">
    <w:name w:val="heading 2"/>
    <w:basedOn w:val="Ttulo"/>
    <w:uiPriority w:val="9"/>
    <w:semiHidden/>
    <w:unhideWhenUsed/>
    <w:qFormat/>
    <w:pPr>
      <w:numPr>
        <w:ilvl w:val="1"/>
        <w:numId w:val="1"/>
      </w:numPr>
      <w:spacing w:before="200"/>
      <w:outlineLvl w:val="1"/>
    </w:pPr>
    <w:rPr>
      <w:rFonts w:ascii="Liberation Serif" w:eastAsia="DejaVu Sans" w:hAnsi="Liberation Serif" w:cs="DejaVu San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EnlacedeInternet">
    <w:name w:val="Enlace de Internet"/>
    <w:basedOn w:val="Fuentedeprrafopredeter"/>
    <w:rPr>
      <w:color w:val="0000FF"/>
      <w:u w:val="single"/>
    </w:rPr>
  </w:style>
  <w:style w:type="character" w:customStyle="1" w:styleId="TextodegloboCar">
    <w:name w:val="Texto de globo Car"/>
    <w:basedOn w:val="Fuentedeprrafopredeter"/>
    <w:qFormat/>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Calibri" w:hAnsi="Calibri"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alibri" w:hAnsi="Calibri"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alibri" w:hAnsi="Calibri"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Calibri"/>
      <w:sz w:val="20"/>
      <w:szCs w:val="20"/>
      <w:lang w:val="es-MX" w:eastAsia="es-CL"/>
    </w:rPr>
  </w:style>
  <w:style w:type="character" w:customStyle="1" w:styleId="ListLabel48">
    <w:name w:val="ListLabel 48"/>
    <w:qFormat/>
    <w:rPr>
      <w:rFonts w:ascii="Calibri" w:hAnsi="Calibri"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alibri"/>
      <w:sz w:val="20"/>
      <w:szCs w:val="20"/>
      <w:lang w:val="es-MX" w:eastAsia="es-CL"/>
    </w:rPr>
  </w:style>
  <w:style w:type="character" w:customStyle="1" w:styleId="ListLabel67">
    <w:name w:val="ListLabel 67"/>
    <w:qFormat/>
    <w:rPr>
      <w:rFonts w:ascii="Calibri" w:hAnsi="Calibri"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Calibri"/>
      <w:sz w:val="20"/>
      <w:szCs w:val="20"/>
      <w:lang w:val="es-MX" w:eastAsia="es-CL"/>
    </w:rPr>
  </w:style>
  <w:style w:type="character" w:customStyle="1" w:styleId="ListLabel86">
    <w:name w:val="ListLabel 86"/>
    <w:qFormat/>
    <w:rPr>
      <w:rFonts w:ascii="Calibri" w:hAnsi="Calibri" w:cs="Symbol"/>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Calibri"/>
      <w:b/>
      <w:bCs/>
      <w:sz w:val="20"/>
      <w:szCs w:val="20"/>
      <w:lang w:val="es-MX" w:eastAsia="es-CL"/>
    </w:rPr>
  </w:style>
  <w:style w:type="character" w:customStyle="1" w:styleId="ListLabel105">
    <w:name w:val="ListLabel 105"/>
    <w:qFormat/>
    <w:rPr>
      <w:rFonts w:cs="Arial"/>
      <w:b/>
      <w:bCs/>
      <w:sz w:val="20"/>
      <w:szCs w:val="20"/>
      <w:lang w:val="es-ES"/>
    </w:rPr>
  </w:style>
  <w:style w:type="paragraph" w:styleId="Ttulo">
    <w:name w:val="Title"/>
    <w:basedOn w:val="Normal"/>
    <w:next w:val="Textoindependiente"/>
    <w:uiPriority w:val="10"/>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Encabezado">
    <w:name w:val="header"/>
    <w:basedOn w:val="Normal"/>
    <w:pPr>
      <w:tabs>
        <w:tab w:val="center" w:pos="4419"/>
        <w:tab w:val="right" w:pos="8838"/>
      </w:tabs>
      <w:spacing w:after="0" w:line="240" w:lineRule="auto"/>
    </w:pPr>
  </w:style>
  <w:style w:type="paragraph" w:customStyle="1" w:styleId="Default">
    <w:name w:val="Default"/>
    <w:qFormat/>
    <w:rPr>
      <w:rFonts w:cs="Calibri"/>
      <w:color w:val="000000"/>
      <w:sz w:val="24"/>
      <w:szCs w:val="24"/>
    </w:rPr>
  </w:style>
  <w:style w:type="paragraph" w:styleId="Prrafodelista">
    <w:name w:val="List Paragraph"/>
    <w:basedOn w:val="Normal"/>
    <w:qFormat/>
    <w:pPr>
      <w:spacing w:line="252" w:lineRule="auto"/>
      <w:ind w:left="720"/>
      <w:contextualSpacing/>
    </w:pPr>
  </w:style>
  <w:style w:type="paragraph" w:styleId="Textodeglobo">
    <w:name w:val="Balloon Text"/>
    <w:basedOn w:val="Normal"/>
    <w:qFormat/>
    <w:pPr>
      <w:spacing w:after="0" w:line="240" w:lineRule="auto"/>
    </w:pPr>
    <w:rPr>
      <w:rFonts w:ascii="Tahoma" w:hAnsi="Tahoma" w:cs="Tahoma"/>
      <w:sz w:val="16"/>
      <w:szCs w:val="16"/>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8662</Characters>
  <Application>Microsoft Office Word</Application>
  <DocSecurity>0</DocSecurity>
  <Lines>72</Lines>
  <Paragraphs>20</Paragraphs>
  <ScaleCrop>false</ScaleCrop>
  <Company>Hewlett-Packard Company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Daniel Faure Polloni</cp:lastModifiedBy>
  <cp:revision>3</cp:revision>
  <dcterms:created xsi:type="dcterms:W3CDTF">2021-01-19T15:29:00Z</dcterms:created>
  <dcterms:modified xsi:type="dcterms:W3CDTF">2021-01-19T15:29:00Z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