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51" w:rsidRDefault="000B2051" w:rsidP="002665B2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PROGRAMA DE ASIGNATURA</w:t>
      </w:r>
    </w:p>
    <w:p w:rsidR="002665B2" w:rsidRDefault="002665B2" w:rsidP="002665B2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INDICADORES SOCIALES</w:t>
      </w:r>
    </w:p>
    <w:p w:rsidR="00AD6853" w:rsidRDefault="00AD6853" w:rsidP="002665B2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PROF. </w:t>
      </w:r>
      <w:r w:rsidR="00CF4899">
        <w:rPr>
          <w:rFonts w:ascii="Arial" w:hAnsi="Arial" w:cs="Arial"/>
          <w:b/>
          <w:bCs/>
          <w:lang w:val="es-ES"/>
        </w:rPr>
        <w:t>Carla Frías Ortega</w:t>
      </w:r>
    </w:p>
    <w:p w:rsidR="00C3230B" w:rsidRDefault="00C3230B" w:rsidP="002665B2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carlafrias@med.uchile.cl</w:t>
      </w:r>
    </w:p>
    <w:p w:rsidR="000B2051" w:rsidRDefault="000B2051" w:rsidP="005A78C4">
      <w:pPr>
        <w:spacing w:after="0" w:line="240" w:lineRule="auto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0B2051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</w:tcPr>
          <w:p w:rsidR="000B2051" w:rsidRPr="008D7289" w:rsidRDefault="000B2051" w:rsidP="00AD685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2051">
              <w:rPr>
                <w:sz w:val="24"/>
                <w:szCs w:val="24"/>
              </w:rPr>
              <w:t>Nombre de la actividad curricular:</w:t>
            </w:r>
            <w:r>
              <w:rPr>
                <w:sz w:val="24"/>
                <w:szCs w:val="24"/>
              </w:rPr>
              <w:t xml:space="preserve"> </w:t>
            </w:r>
            <w:r w:rsidR="00F655C9">
              <w:rPr>
                <w:rFonts w:ascii="Calibri,Bold" w:hAnsi="Calibri,Bold" w:cs="Calibri,Bold"/>
                <w:b/>
                <w:bCs/>
                <w:lang w:eastAsia="es-CL"/>
              </w:rPr>
              <w:t>INDICADORES SOCIALES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</w:tcPr>
          <w:p w:rsidR="000B2051" w:rsidRPr="00027E73" w:rsidRDefault="000B2051" w:rsidP="00AD68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289">
              <w:rPr>
                <w:sz w:val="24"/>
                <w:szCs w:val="24"/>
              </w:rPr>
              <w:t>2. Nombre de la actividad curricular en inglés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</w:tcPr>
          <w:p w:rsidR="000B2051" w:rsidRPr="00280D7D" w:rsidRDefault="000B2051" w:rsidP="000B20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Unidad Académica: </w:t>
            </w:r>
            <w:r w:rsidRPr="00280D7D">
              <w:rPr>
                <w:b/>
                <w:sz w:val="24"/>
                <w:szCs w:val="24"/>
              </w:rPr>
              <w:t>Trabajo Social</w:t>
            </w:r>
          </w:p>
        </w:tc>
      </w:tr>
      <w:tr w:rsidR="000B2051" w:rsidRPr="008D7289" w:rsidTr="006E185A">
        <w:trPr>
          <w:jc w:val="center"/>
        </w:trPr>
        <w:tc>
          <w:tcPr>
            <w:tcW w:w="4786" w:type="dxa"/>
          </w:tcPr>
          <w:p w:rsidR="000B2051" w:rsidRPr="008D7289" w:rsidRDefault="000B2051" w:rsidP="00006EAE">
            <w:pPr>
              <w:spacing w:after="0" w:line="240" w:lineRule="auto"/>
              <w:rPr>
                <w:sz w:val="24"/>
                <w:szCs w:val="24"/>
              </w:rPr>
            </w:pPr>
            <w:r w:rsidRPr="008D7289">
              <w:rPr>
                <w:sz w:val="24"/>
                <w:szCs w:val="24"/>
              </w:rPr>
              <w:t>4. Horas de trabajo presencial y no presencial</w:t>
            </w:r>
          </w:p>
        </w:tc>
        <w:tc>
          <w:tcPr>
            <w:tcW w:w="4536" w:type="dxa"/>
          </w:tcPr>
          <w:p w:rsidR="000B2051" w:rsidRPr="00280D7D" w:rsidRDefault="000B2051" w:rsidP="000B2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hrs (3 presenciales + 6 no presenciales)</w:t>
            </w:r>
          </w:p>
        </w:tc>
      </w:tr>
      <w:tr w:rsidR="000B2051" w:rsidRPr="008D7289" w:rsidTr="006E185A">
        <w:trPr>
          <w:jc w:val="center"/>
        </w:trPr>
        <w:tc>
          <w:tcPr>
            <w:tcW w:w="4786" w:type="dxa"/>
          </w:tcPr>
          <w:p w:rsidR="000B2051" w:rsidRPr="008D7289" w:rsidRDefault="000B2051" w:rsidP="00006EAE">
            <w:pPr>
              <w:spacing w:after="0" w:line="240" w:lineRule="auto"/>
              <w:rPr>
                <w:sz w:val="24"/>
                <w:szCs w:val="24"/>
              </w:rPr>
            </w:pPr>
            <w:r w:rsidRPr="008D7289">
              <w:rPr>
                <w:sz w:val="24"/>
                <w:szCs w:val="24"/>
              </w:rPr>
              <w:t>5. Tipo de créditos</w:t>
            </w:r>
          </w:p>
        </w:tc>
        <w:tc>
          <w:tcPr>
            <w:tcW w:w="4536" w:type="dxa"/>
          </w:tcPr>
          <w:p w:rsidR="000B2051" w:rsidRPr="00280D7D" w:rsidRDefault="000B2051" w:rsidP="0000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5B2">
              <w:rPr>
                <w:sz w:val="24"/>
                <w:szCs w:val="24"/>
              </w:rPr>
              <w:t>SCT</w:t>
            </w:r>
          </w:p>
        </w:tc>
      </w:tr>
      <w:tr w:rsidR="000B2051" w:rsidRPr="008D7289" w:rsidTr="006E185A">
        <w:trPr>
          <w:jc w:val="center"/>
        </w:trPr>
        <w:tc>
          <w:tcPr>
            <w:tcW w:w="4786" w:type="dxa"/>
          </w:tcPr>
          <w:p w:rsidR="000B2051" w:rsidRPr="008D7289" w:rsidRDefault="003D0DCF" w:rsidP="00006E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051" w:rsidRPr="008D7289">
              <w:rPr>
                <w:sz w:val="24"/>
                <w:szCs w:val="24"/>
              </w:rPr>
              <w:t>. Número de créditos SCT - Chile</w:t>
            </w:r>
          </w:p>
        </w:tc>
        <w:tc>
          <w:tcPr>
            <w:tcW w:w="4536" w:type="dxa"/>
          </w:tcPr>
          <w:p w:rsidR="000B2051" w:rsidRPr="00280D7D" w:rsidRDefault="000B2051" w:rsidP="0000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SCT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</w:tcPr>
          <w:p w:rsidR="000B2051" w:rsidRPr="00027E73" w:rsidRDefault="003D0DCF" w:rsidP="00006E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2051" w:rsidRPr="008D7289">
              <w:rPr>
                <w:sz w:val="24"/>
                <w:szCs w:val="24"/>
              </w:rPr>
              <w:t>. Propósito general del curso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</w:tcPr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La necesidad de definir y medir las cuestiones relacionadas con el desarrollo, los niveles</w:t>
            </w: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de vida y las condiciones sociales y económicas motivó la aparición, desde los años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setenta, de diversos programas de indicadores soc</w:t>
            </w:r>
            <w:r>
              <w:rPr>
                <w:sz w:val="24"/>
                <w:szCs w:val="24"/>
              </w:rPr>
              <w:t xml:space="preserve">iales elaborados por organismos </w:t>
            </w:r>
            <w:r w:rsidRPr="00F655C9">
              <w:rPr>
                <w:sz w:val="24"/>
                <w:szCs w:val="24"/>
              </w:rPr>
              <w:t>internacionales y países. Estos estaban destinados a com</w:t>
            </w:r>
            <w:r>
              <w:rPr>
                <w:sz w:val="24"/>
                <w:szCs w:val="24"/>
              </w:rPr>
              <w:t xml:space="preserve">parar y juzgar el contexto y el </w:t>
            </w:r>
            <w:r w:rsidRPr="00F655C9">
              <w:rPr>
                <w:sz w:val="24"/>
                <w:szCs w:val="24"/>
              </w:rPr>
              <w:t>funcionamiento de PP, programas e intervenciones sociales y sus resultados, con los año</w:t>
            </w:r>
            <w:r>
              <w:rPr>
                <w:sz w:val="24"/>
                <w:szCs w:val="24"/>
              </w:rPr>
              <w:t xml:space="preserve">s </w:t>
            </w:r>
            <w:r w:rsidRPr="00F655C9">
              <w:rPr>
                <w:sz w:val="24"/>
                <w:szCs w:val="24"/>
              </w:rPr>
              <w:t>han experimentado un gran desarrollo. La diversidad de</w:t>
            </w:r>
            <w:r>
              <w:rPr>
                <w:sz w:val="24"/>
                <w:szCs w:val="24"/>
              </w:rPr>
              <w:t xml:space="preserve"> estadísticas utilizadas en los </w:t>
            </w:r>
            <w:r w:rsidRPr="00F655C9">
              <w:rPr>
                <w:sz w:val="24"/>
                <w:szCs w:val="24"/>
              </w:rPr>
              <w:t>distintos sistemas de indicadores existentes en la actualid</w:t>
            </w:r>
            <w:r>
              <w:rPr>
                <w:sz w:val="24"/>
                <w:szCs w:val="24"/>
              </w:rPr>
              <w:t xml:space="preserve">ad, exige un análisis de dichos </w:t>
            </w:r>
            <w:r w:rsidRPr="00F655C9">
              <w:rPr>
                <w:sz w:val="24"/>
                <w:szCs w:val="24"/>
              </w:rPr>
              <w:t>sistemas, de su interés desde el punto de vista académico y profesional, desd</w:t>
            </w:r>
            <w:r>
              <w:rPr>
                <w:sz w:val="24"/>
                <w:szCs w:val="24"/>
              </w:rPr>
              <w:t xml:space="preserve">e una </w:t>
            </w:r>
            <w:r w:rsidRPr="00F655C9">
              <w:rPr>
                <w:sz w:val="24"/>
                <w:szCs w:val="24"/>
              </w:rPr>
              <w:t>perspectiva crítica.</w:t>
            </w:r>
          </w:p>
          <w:p w:rsid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La Organización de las Naciones Unidas desde 1976 se o</w:t>
            </w:r>
            <w:r>
              <w:rPr>
                <w:sz w:val="24"/>
                <w:szCs w:val="24"/>
              </w:rPr>
              <w:t xml:space="preserve">cupó de armonizar los distintos </w:t>
            </w:r>
            <w:r w:rsidRPr="00F655C9">
              <w:rPr>
                <w:sz w:val="24"/>
                <w:szCs w:val="24"/>
              </w:rPr>
              <w:t>programas de carácter internacional, con la finalidad de crear un sistema flexible de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indicadores sociales capaz de adaptarse a los diferentes grados de desarrollo de los países</w:t>
            </w: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o regiones. En 1989 publicó un Manual sobre la utili</w:t>
            </w:r>
            <w:r>
              <w:rPr>
                <w:sz w:val="24"/>
                <w:szCs w:val="24"/>
              </w:rPr>
              <w:t xml:space="preserve">zación de tales indicadores que </w:t>
            </w:r>
            <w:r w:rsidRPr="00F655C9">
              <w:rPr>
                <w:sz w:val="24"/>
                <w:szCs w:val="24"/>
              </w:rPr>
              <w:t>incluye una lista de trece áreas temáticas, el que ha sid</w:t>
            </w:r>
            <w:r>
              <w:rPr>
                <w:sz w:val="24"/>
                <w:szCs w:val="24"/>
              </w:rPr>
              <w:t xml:space="preserve">o actualizado para reflejar los </w:t>
            </w:r>
            <w:r w:rsidRPr="00F655C9">
              <w:rPr>
                <w:sz w:val="24"/>
                <w:szCs w:val="24"/>
              </w:rPr>
              <w:t>avances de cada uno de los países.</w:t>
            </w:r>
          </w:p>
          <w:p w:rsid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Para la formación profesional es relevante conocer los indicadores sociales y los sistemas</w:t>
            </w:r>
          </w:p>
          <w:p w:rsid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vigentes por ello se propone</w:t>
            </w:r>
            <w:r>
              <w:rPr>
                <w:sz w:val="24"/>
                <w:szCs w:val="24"/>
              </w:rPr>
              <w:t xml:space="preserve"> como objetivos los siguientes:</w:t>
            </w:r>
          </w:p>
          <w:p w:rsidR="00F655C9" w:rsidRPr="00F655C9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 xml:space="preserve">Introducir a los indicadores sociales, índices y sistemas </w:t>
            </w:r>
            <w:r>
              <w:rPr>
                <w:sz w:val="24"/>
                <w:szCs w:val="24"/>
              </w:rPr>
              <w:t xml:space="preserve">de indicadores: sus conceptos y </w:t>
            </w:r>
            <w:r w:rsidRPr="00F655C9">
              <w:rPr>
                <w:sz w:val="24"/>
                <w:szCs w:val="24"/>
              </w:rPr>
              <w:t>paradigmas teóricos.</w:t>
            </w:r>
          </w:p>
          <w:p w:rsidR="00F655C9" w:rsidRPr="00F655C9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Conocer los indicadores sociales y su aplicación</w:t>
            </w:r>
          </w:p>
          <w:p w:rsidR="00F655C9" w:rsidRPr="00F655C9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Conocer las diversas metodologías y fuentes de datos disp</w:t>
            </w:r>
            <w:r>
              <w:rPr>
                <w:sz w:val="24"/>
                <w:szCs w:val="24"/>
              </w:rPr>
              <w:t xml:space="preserve">onibles para la construcción de </w:t>
            </w:r>
            <w:r w:rsidRPr="00F655C9">
              <w:rPr>
                <w:sz w:val="24"/>
                <w:szCs w:val="24"/>
              </w:rPr>
              <w:t>indicadores sociales.</w:t>
            </w:r>
          </w:p>
          <w:p w:rsidR="00F655C9" w:rsidRPr="00F655C9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Elaborar, utilizar e interpretar indicadores sociales e instrumentos de medición social.</w:t>
            </w:r>
          </w:p>
          <w:p w:rsidR="00F655C9" w:rsidRPr="00F655C9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Comprender el papel que juegan los indicadores sociale</w:t>
            </w:r>
            <w:r>
              <w:rPr>
                <w:sz w:val="24"/>
                <w:szCs w:val="24"/>
              </w:rPr>
              <w:t xml:space="preserve">s en procesos de investigación, </w:t>
            </w:r>
            <w:r w:rsidRPr="00F655C9">
              <w:rPr>
                <w:sz w:val="24"/>
                <w:szCs w:val="24"/>
              </w:rPr>
              <w:t>diagnóstico, monitoreo y evaluación de políticas sociales.</w:t>
            </w:r>
          </w:p>
          <w:p w:rsidR="000E47C3" w:rsidRDefault="00F655C9" w:rsidP="00F655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Estimular la reflexión crítica sobre los fundamen</w:t>
            </w:r>
            <w:r>
              <w:rPr>
                <w:sz w:val="24"/>
                <w:szCs w:val="24"/>
              </w:rPr>
              <w:t xml:space="preserve">tos teóricos y políticos de las </w:t>
            </w:r>
            <w:r w:rsidRPr="00F655C9">
              <w:rPr>
                <w:sz w:val="24"/>
                <w:szCs w:val="24"/>
              </w:rPr>
              <w:t>conceptualizaciones y enfoques de intervención social actuales de las PP, identificando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potenciales áreas de innovación social.</w:t>
            </w: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</w:tcPr>
          <w:p w:rsidR="000B2051" w:rsidRPr="00027E73" w:rsidRDefault="003D0DCF" w:rsidP="00006E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E47C3">
              <w:rPr>
                <w:sz w:val="24"/>
                <w:szCs w:val="24"/>
              </w:rPr>
              <w:t xml:space="preserve">. Competencias </w:t>
            </w:r>
            <w:r w:rsidR="000B2051" w:rsidRPr="008D7289">
              <w:rPr>
                <w:sz w:val="24"/>
                <w:szCs w:val="24"/>
              </w:rPr>
              <w:t>a las que contribuye el curso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</w:tcPr>
          <w:p w:rsidR="00BB2DF8" w:rsidRPr="00BB2DF8" w:rsidRDefault="00BB2DF8" w:rsidP="00BB2DF8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BB2DF8">
              <w:rPr>
                <w:sz w:val="24"/>
                <w:szCs w:val="24"/>
                <w:lang w:val="es-ES"/>
              </w:rPr>
              <w:t>Las competencias son:</w:t>
            </w:r>
          </w:p>
          <w:p w:rsidR="000E47C3" w:rsidRDefault="000E47C3" w:rsidP="00BB2D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55C9" w:rsidRDefault="00F655C9" w:rsidP="00BB2D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</w:tcPr>
          <w:p w:rsidR="000B2051" w:rsidRDefault="003D0DCF" w:rsidP="000B20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2051" w:rsidRPr="008D7289">
              <w:rPr>
                <w:sz w:val="24"/>
                <w:szCs w:val="24"/>
              </w:rPr>
              <w:t>. Resultados de Aprendizaje</w:t>
            </w:r>
            <w:r w:rsidR="000E47C3">
              <w:rPr>
                <w:sz w:val="24"/>
                <w:szCs w:val="24"/>
              </w:rPr>
              <w:t xml:space="preserve"> Esperado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</w:tcPr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Comprende y valora la aportación de los indicadores sociales al quehacer del trabajador</w:t>
            </w:r>
          </w:p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social.</w:t>
            </w:r>
          </w:p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Conoce los sistemas de indicadores en relación al ejercicio profesional del trabajo social.</w:t>
            </w:r>
          </w:p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Conoce el proceso de elaboración de los sistemas de indicadores sociales</w:t>
            </w:r>
          </w:p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Analiza los factores que inciden en los sistemas de medición social</w:t>
            </w:r>
          </w:p>
          <w:p w:rsidR="00F655C9" w:rsidRP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 xml:space="preserve">Analiza el papel que juegan los indicadores sociales en la investigación científica e </w:t>
            </w:r>
            <w:r w:rsidRPr="00F655C9">
              <w:rPr>
                <w:rFonts w:cs="Calibri"/>
                <w:lang w:eastAsia="es-CL"/>
              </w:rPr>
              <w:t>innovación social.</w:t>
            </w:r>
          </w:p>
          <w:p w:rsid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>Actitud de compromiso frente a los problemas sociales y culturales.</w:t>
            </w:r>
          </w:p>
          <w:p w:rsidR="008868DD" w:rsidRPr="00F655C9" w:rsidRDefault="00F655C9" w:rsidP="00F655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CL"/>
              </w:rPr>
            </w:pPr>
            <w:r>
              <w:rPr>
                <w:rFonts w:cs="Calibri"/>
                <w:lang w:eastAsia="es-CL"/>
              </w:rPr>
              <w:t xml:space="preserve">Genera espacios de intercambios, reflexión y análisis críticos a nivel interdisciplinar </w:t>
            </w:r>
            <w:r w:rsidRPr="00F655C9">
              <w:rPr>
                <w:rFonts w:cs="Calibri"/>
                <w:lang w:eastAsia="es-CL"/>
              </w:rPr>
              <w:t>divulgando las propuestas elaboradas.</w:t>
            </w:r>
          </w:p>
          <w:p w:rsidR="000E47C3" w:rsidRPr="00027E73" w:rsidRDefault="000E47C3" w:rsidP="008851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D0DCF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</w:tcPr>
          <w:p w:rsidR="003D0DCF" w:rsidRDefault="003D0DCF" w:rsidP="003D0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7437">
              <w:rPr>
                <w:sz w:val="24"/>
                <w:szCs w:val="24"/>
              </w:rPr>
              <w:t>.</w:t>
            </w:r>
            <w:r w:rsidR="00337A73">
              <w:rPr>
                <w:sz w:val="24"/>
                <w:szCs w:val="24"/>
              </w:rPr>
              <w:t xml:space="preserve"> Saberes/</w:t>
            </w:r>
            <w:r w:rsidR="00F37437">
              <w:rPr>
                <w:sz w:val="24"/>
                <w:szCs w:val="24"/>
              </w:rPr>
              <w:t xml:space="preserve"> C</w:t>
            </w:r>
            <w:r w:rsidRPr="008D7289">
              <w:rPr>
                <w:sz w:val="24"/>
                <w:szCs w:val="24"/>
              </w:rPr>
              <w:t>ontenidos</w:t>
            </w:r>
            <w:r w:rsidR="00F37437">
              <w:rPr>
                <w:sz w:val="24"/>
                <w:szCs w:val="24"/>
              </w:rPr>
              <w:t xml:space="preserve"> de la Asignatura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vAlign w:val="center"/>
          </w:tcPr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Unidad 1. Introducción y metodologías para la producción de indicadores sociales.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Concepto, clasificaciones y usos de los indicadores sociales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Origen y principales hitos en la construcción de sistemas de indicadores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Paradigmas teóricos para la producción de indicadores sociales: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Bienestar, calidad de vida y desarrollo humano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Vulnerabilidad social y demográfica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Monitoreo y evaluación de políticas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Enfoque de derechos humanos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Componentes analíticos de los indicadores sociales: dato y metadato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Fuentes de información cuantitativa: censos, encuestas y registros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Operacionalización y análisis estadístico: medidas de tendencia central, de dispersión,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distributivas y de posición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Indicadores e índices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Evaluación de la calidad de la información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Unidad 2. Referentes clásicos y aplicaciones actuales a la medición de indicadores sociales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La medición de la pobreza y el bienestar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Conceptos de pobreza y bienestar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La medición de pobreza por ingresos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La medición multidimensional de la pobreza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La medición del desarrollo humano y la vulnerabilidad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Índice de Desarrollo humano: historia, concepto y medición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Conceptos de vulnerabilidad social y riesgo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El enfoque AVEO y la construcción de indicadores de vulnerabilidad social y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demográfica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Indicadores de desigualdad, paridad y brechas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Medidas generales de desigualdad, paridad y brechas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Medidas de desigualdad de ingresos y coeficiente de Gini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Medidas de desigualdad territorial y segregación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Medidas de equidad de género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Impact" w:hAnsi="Impact" w:cs="Impact"/>
                <w:color w:val="FFFFFF"/>
                <w:sz w:val="16"/>
                <w:szCs w:val="16"/>
                <w:lang w:eastAsia="es-CL"/>
              </w:rPr>
            </w:pPr>
            <w:r>
              <w:rPr>
                <w:rFonts w:ascii="Impact" w:hAnsi="Impact" w:cs="Impact"/>
                <w:color w:val="FFFFFF"/>
                <w:sz w:val="16"/>
                <w:szCs w:val="16"/>
                <w:lang w:eastAsia="es-CL"/>
              </w:rPr>
              <w:t>a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Unidad 3. Indicadores aplicados a políticas públicas y construcción de sistemas de información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lastRenderedPageBreak/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Indicadores para el diagnóstico, monitoreo y la evaluación de políticas y programas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sociales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Indicadores para el diagnóstico social sectorial: Trabajo, Salud, Educación y</w:t>
            </w:r>
            <w:r w:rsid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Vivienda</w:t>
            </w:r>
          </w:p>
          <w:p w:rsidR="00D01EF5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Indicadores para el monitoreo de políticas y programas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 Indicadores d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e marco lógico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Enfoque de género e indicadores sobre grupos de población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Enfoque de género en la producción de indicadores</w:t>
            </w:r>
          </w:p>
          <w:p w:rsidR="00F655C9" w:rsidRPr="00AC46DA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Grupos</w:t>
            </w: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generacionales y ciclo de vida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 Identid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ades: migrantes, pueblos originarios y diversidad sexual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Producción de registros administrativos y sistemas de información para el monitoreo y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>evaluación de programas</w:t>
            </w:r>
          </w:p>
          <w:p w:rsidR="00F655C9" w:rsidRPr="00AC46DA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s-CL"/>
              </w:rPr>
              <w:t xml:space="preserve">o </w:t>
            </w: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Registros sobre población usuaria y beneficiaria</w:t>
            </w:r>
          </w:p>
          <w:p w:rsidR="00F655C9" w:rsidRPr="00AC46DA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 Instrumentos de focalización y estratificación socioeconómica</w:t>
            </w:r>
          </w:p>
          <w:p w:rsidR="00F655C9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 Uso de datos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 xml:space="preserve"> de registros administrativos</w:t>
            </w:r>
          </w:p>
          <w:p w:rsidR="00F655C9" w:rsidRDefault="00F655C9" w:rsidP="00F6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Symbol" w:hAnsi="Symbol" w:cs="Symbol"/>
                <w:sz w:val="20"/>
                <w:szCs w:val="20"/>
                <w:lang w:eastAsia="es-CL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eastAsia="es-CL"/>
              </w:rPr>
              <w:t>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Sistemas de Información Geográfica (SIG)</w:t>
            </w:r>
          </w:p>
          <w:p w:rsidR="00F655C9" w:rsidRPr="00AC46DA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s-CL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 xml:space="preserve">Conceptos </w:t>
            </w: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básicos de un SIG</w:t>
            </w:r>
          </w:p>
          <w:p w:rsidR="00F655C9" w:rsidRPr="00AC46DA" w:rsidRDefault="00F655C9" w:rsidP="00AC46D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AC46DA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o Modelos e implementación de un SIG</w:t>
            </w:r>
          </w:p>
          <w:p w:rsidR="00F655C9" w:rsidRPr="00F655C9" w:rsidRDefault="00F655C9" w:rsidP="00F655C9">
            <w:pPr>
              <w:spacing w:after="0" w:line="240" w:lineRule="auto"/>
              <w:rPr>
                <w:rFonts w:cs="Arial"/>
                <w:i/>
                <w:color w:val="535353"/>
                <w:sz w:val="18"/>
                <w:lang w:val="es-ES"/>
              </w:rPr>
            </w:pPr>
          </w:p>
        </w:tc>
      </w:tr>
      <w:tr w:rsidR="003D0DCF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  <w:vAlign w:val="center"/>
          </w:tcPr>
          <w:p w:rsidR="003D0DCF" w:rsidRPr="00F655C9" w:rsidRDefault="003D0DCF" w:rsidP="003D0DCF">
            <w:pPr>
              <w:spacing w:after="0" w:line="240" w:lineRule="auto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lastRenderedPageBreak/>
              <w:t>11. Metodología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vAlign w:val="center"/>
          </w:tcPr>
          <w:p w:rsidR="00F655C9" w:rsidRDefault="00D01EF5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9D7">
              <w:rPr>
                <w:sz w:val="24"/>
                <w:szCs w:val="24"/>
                <w:lang w:val="es-ES"/>
              </w:rPr>
              <w:t>La asignatura desarrollará a través de un sistema de clase taller a cargo de</w:t>
            </w:r>
            <w:r w:rsidR="001427E7" w:rsidRPr="00A919D7">
              <w:rPr>
                <w:sz w:val="24"/>
                <w:szCs w:val="24"/>
                <w:lang w:val="es-ES"/>
              </w:rPr>
              <w:t xml:space="preserve"> </w:t>
            </w:r>
            <w:r w:rsidRPr="00A919D7">
              <w:rPr>
                <w:sz w:val="24"/>
                <w:szCs w:val="24"/>
                <w:lang w:val="es-ES"/>
              </w:rPr>
              <w:t>l</w:t>
            </w:r>
            <w:r w:rsidR="001427E7" w:rsidRPr="00A919D7">
              <w:rPr>
                <w:sz w:val="24"/>
                <w:szCs w:val="24"/>
                <w:lang w:val="es-ES"/>
              </w:rPr>
              <w:t>a</w:t>
            </w:r>
            <w:r w:rsidRPr="00A919D7">
              <w:rPr>
                <w:sz w:val="24"/>
                <w:szCs w:val="24"/>
                <w:lang w:val="es-ES"/>
              </w:rPr>
              <w:t xml:space="preserve"> profesor</w:t>
            </w:r>
            <w:r w:rsidR="001427E7" w:rsidRPr="00A919D7">
              <w:rPr>
                <w:sz w:val="24"/>
                <w:szCs w:val="24"/>
                <w:lang w:val="es-ES"/>
              </w:rPr>
              <w:t>a</w:t>
            </w:r>
            <w:r w:rsidRPr="00A919D7">
              <w:rPr>
                <w:sz w:val="24"/>
                <w:szCs w:val="24"/>
                <w:lang w:val="es-ES"/>
              </w:rPr>
              <w:t xml:space="preserve">, </w:t>
            </w:r>
            <w:r w:rsidR="001D542B" w:rsidRPr="00A919D7">
              <w:rPr>
                <w:sz w:val="24"/>
                <w:szCs w:val="24"/>
                <w:lang w:val="es-ES"/>
              </w:rPr>
              <w:t>se trabajará</w:t>
            </w:r>
            <w:r w:rsidR="001D542B">
              <w:rPr>
                <w:sz w:val="24"/>
                <w:szCs w:val="24"/>
                <w:lang w:val="es-ES"/>
              </w:rPr>
              <w:t xml:space="preserve"> </w:t>
            </w:r>
            <w:r w:rsidR="00F655C9" w:rsidRPr="00F655C9">
              <w:rPr>
                <w:sz w:val="24"/>
                <w:szCs w:val="24"/>
              </w:rPr>
              <w:t>e</w:t>
            </w:r>
            <w:r w:rsidR="001D542B">
              <w:rPr>
                <w:sz w:val="24"/>
                <w:szCs w:val="24"/>
              </w:rPr>
              <w:t>n</w:t>
            </w:r>
            <w:r w:rsidR="00F655C9" w:rsidRPr="00F655C9">
              <w:rPr>
                <w:sz w:val="24"/>
                <w:szCs w:val="24"/>
              </w:rPr>
              <w:t xml:space="preserve"> clases expositivas en las que se combina la presentación de</w:t>
            </w:r>
            <w:r w:rsidR="00F655C9">
              <w:rPr>
                <w:sz w:val="24"/>
                <w:szCs w:val="24"/>
              </w:rPr>
              <w:t xml:space="preserve"> </w:t>
            </w:r>
            <w:r w:rsidR="00F655C9" w:rsidRPr="00F655C9">
              <w:rPr>
                <w:sz w:val="24"/>
                <w:szCs w:val="24"/>
              </w:rPr>
              <w:t>conceptos teóricos, con la discusión de aplicaciones y experiencias</w:t>
            </w:r>
            <w:r w:rsidR="00F655C9">
              <w:rPr>
                <w:sz w:val="24"/>
                <w:szCs w:val="24"/>
              </w:rPr>
              <w:t xml:space="preserve"> concretas relacionadas con los </w:t>
            </w:r>
            <w:r w:rsidR="00F655C9" w:rsidRPr="00F655C9">
              <w:rPr>
                <w:sz w:val="24"/>
                <w:szCs w:val="24"/>
              </w:rPr>
              <w:t>procesos de producción y análisis de indicadores.</w:t>
            </w: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Para este fin, las clases regulares estarán divididas en dos módulos: (a) bloque teórico (donde se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expondrán conceptos y miradas teóricas pertinentes); y, (b) bloque de experiencia aplicada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(donde se presentará algún proyecto o experiencia relevante vinculada con los contenidos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teóricos presentados en el bloque anterior).</w:t>
            </w:r>
          </w:p>
          <w:p w:rsidR="00F655C9" w:rsidRP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55C9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55C9">
              <w:rPr>
                <w:sz w:val="24"/>
                <w:szCs w:val="24"/>
              </w:rPr>
              <w:t>Junto a las clases expositivas, está prevista la realización de dos ejercicios prácticos en laboratorio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de computación, orientados al trabajo con datos y al análisis mediante software estadístico y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planilla de cálculos. Ambos trabajos serán complementados con informes escritos a elaborar en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grupo, en los que se busca vincular los procesos de análisis de información con la interpretación</w:t>
            </w:r>
            <w:r>
              <w:rPr>
                <w:sz w:val="24"/>
                <w:szCs w:val="24"/>
              </w:rPr>
              <w:t xml:space="preserve"> </w:t>
            </w:r>
            <w:r w:rsidRPr="00F655C9">
              <w:rPr>
                <w:sz w:val="24"/>
                <w:szCs w:val="24"/>
              </w:rPr>
              <w:t>de resultados y la redacción de informes de investigación.</w:t>
            </w:r>
          </w:p>
          <w:p w:rsidR="00F655C9" w:rsidRPr="00027E73" w:rsidRDefault="00F655C9" w:rsidP="00F655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D0DCF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C6D9F1"/>
            <w:vAlign w:val="center"/>
          </w:tcPr>
          <w:p w:rsidR="003D0DCF" w:rsidRPr="00027E73" w:rsidRDefault="003D0DCF" w:rsidP="003D0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8D7289">
              <w:rPr>
                <w:sz w:val="24"/>
                <w:szCs w:val="24"/>
              </w:rPr>
              <w:t>Evaluación</w:t>
            </w:r>
          </w:p>
        </w:tc>
      </w:tr>
      <w:tr w:rsidR="000B2051" w:rsidRPr="008D7289" w:rsidTr="006E185A">
        <w:trPr>
          <w:trHeight w:val="992"/>
          <w:jc w:val="center"/>
        </w:trPr>
        <w:tc>
          <w:tcPr>
            <w:tcW w:w="9322" w:type="dxa"/>
            <w:gridSpan w:val="2"/>
            <w:vAlign w:val="center"/>
          </w:tcPr>
          <w:p w:rsidR="00D01EF5" w:rsidRPr="001E5B3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EF5">
              <w:rPr>
                <w:sz w:val="24"/>
                <w:szCs w:val="24"/>
              </w:rPr>
              <w:t xml:space="preserve">Durante el transcurso de la asignatura se realizarán </w:t>
            </w:r>
            <w:r w:rsidR="002645D9">
              <w:rPr>
                <w:sz w:val="24"/>
                <w:szCs w:val="24"/>
              </w:rPr>
              <w:t>3</w:t>
            </w:r>
            <w:r w:rsidRPr="00D01EF5">
              <w:rPr>
                <w:sz w:val="24"/>
                <w:szCs w:val="24"/>
              </w:rPr>
              <w:t xml:space="preserve"> evaluaciones parciales</w:t>
            </w:r>
            <w:r w:rsidR="002645D9">
              <w:rPr>
                <w:sz w:val="24"/>
                <w:szCs w:val="24"/>
              </w:rPr>
              <w:t>.</w:t>
            </w:r>
            <w:r w:rsidR="001E5B35">
              <w:rPr>
                <w:sz w:val="24"/>
                <w:szCs w:val="24"/>
              </w:rPr>
              <w:t xml:space="preserve"> </w:t>
            </w:r>
            <w:r w:rsidR="001E5B35" w:rsidRPr="001E5B35">
              <w:rPr>
                <w:sz w:val="24"/>
                <w:szCs w:val="24"/>
              </w:rPr>
              <w:t>C</w:t>
            </w:r>
            <w:r w:rsidRPr="001E5B35">
              <w:rPr>
                <w:sz w:val="24"/>
                <w:szCs w:val="24"/>
              </w:rPr>
              <w:t>onsisten en pruebas escritas cuya ponderación es de un 25 % cada una. La tercera evaluación consistirá en la elaboración de diversos trabajos de taller grupal (4 a 5 estudiantes) cuya ponderación total es del 20 % y el trabajo de integración final cuya ponderación es del 30%, corresponde a una trabajo de equipo que incorpora de manera aplicada lo visto en el semestre (4  a 5 personas):</w:t>
            </w:r>
          </w:p>
          <w:p w:rsidR="00D01EF5" w:rsidRPr="001E5B3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01EF5" w:rsidRPr="001E5B3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5B35">
              <w:rPr>
                <w:sz w:val="24"/>
                <w:szCs w:val="24"/>
              </w:rPr>
              <w:t>Prueba 1: Unidades I y II. (25%)</w:t>
            </w:r>
          </w:p>
          <w:p w:rsidR="00D01EF5" w:rsidRPr="001E5B3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5B35">
              <w:rPr>
                <w:sz w:val="24"/>
                <w:szCs w:val="24"/>
              </w:rPr>
              <w:t>Prueba 2: Unidades III (25%)</w:t>
            </w:r>
          </w:p>
          <w:p w:rsidR="00D01EF5" w:rsidRPr="001E5B3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5B35">
              <w:rPr>
                <w:sz w:val="24"/>
                <w:szCs w:val="24"/>
              </w:rPr>
              <w:t xml:space="preserve">Talleres: </w:t>
            </w:r>
            <w:r w:rsidRPr="001E5B35">
              <w:rPr>
                <w:sz w:val="24"/>
                <w:szCs w:val="24"/>
                <w:lang w:val="es-ES"/>
              </w:rPr>
              <w:t xml:space="preserve">Actividades mediante software de procesamiento de datos, que consistirá en tareas </w:t>
            </w:r>
            <w:r w:rsidRPr="001E5B35">
              <w:rPr>
                <w:sz w:val="24"/>
                <w:szCs w:val="24"/>
                <w:lang w:val="es-ES"/>
              </w:rPr>
              <w:lastRenderedPageBreak/>
              <w:t>en clase, controles y trabajo autónomo.</w:t>
            </w:r>
            <w:r w:rsidRPr="001E5B35">
              <w:rPr>
                <w:sz w:val="24"/>
                <w:szCs w:val="24"/>
              </w:rPr>
              <w:t xml:space="preserve"> (20%) </w:t>
            </w:r>
          </w:p>
          <w:p w:rsidR="00D01EF5" w:rsidRPr="00D01EF5" w:rsidRDefault="00D01EF5" w:rsidP="00D01E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5B35">
              <w:rPr>
                <w:sz w:val="24"/>
                <w:szCs w:val="24"/>
              </w:rPr>
              <w:t>Trabajo de integración (30%)</w:t>
            </w:r>
          </w:p>
          <w:p w:rsidR="000E47C3" w:rsidRDefault="000E47C3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B2051" w:rsidRDefault="003D0DCF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promedio de notas del semestre tiene una ponderación del </w:t>
            </w:r>
            <w:r w:rsidRPr="004F3441">
              <w:rPr>
                <w:sz w:val="24"/>
                <w:szCs w:val="24"/>
              </w:rPr>
              <w:t>60% y el examen 40%</w:t>
            </w:r>
          </w:p>
          <w:p w:rsidR="000B2051" w:rsidRPr="008D7289" w:rsidRDefault="003D0DCF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nota</w:t>
            </w:r>
            <w:r w:rsidR="00CF4899">
              <w:rPr>
                <w:sz w:val="24"/>
                <w:szCs w:val="24"/>
              </w:rPr>
              <w:t xml:space="preserve"> de aprobación del curso es 4.0  (cuatro punto cero).</w:t>
            </w:r>
            <w:r>
              <w:rPr>
                <w:sz w:val="24"/>
                <w:szCs w:val="24"/>
              </w:rPr>
              <w:t xml:space="preserve"> Se eximirán del examen quienes obtengan un p</w:t>
            </w:r>
            <w:r w:rsidR="00AD6853">
              <w:rPr>
                <w:sz w:val="24"/>
                <w:szCs w:val="24"/>
              </w:rPr>
              <w:t>romedio igual o superior a 5.5</w:t>
            </w:r>
            <w:r w:rsidR="00CF4899">
              <w:rPr>
                <w:sz w:val="24"/>
                <w:szCs w:val="24"/>
              </w:rPr>
              <w:t xml:space="preserve"> (cinco punto cinco)</w:t>
            </w:r>
            <w:r w:rsidR="00AD6853">
              <w:rPr>
                <w:sz w:val="24"/>
                <w:szCs w:val="24"/>
              </w:rPr>
              <w:t>.</w:t>
            </w:r>
          </w:p>
        </w:tc>
      </w:tr>
      <w:tr w:rsidR="003D0DCF" w:rsidRPr="008D7289" w:rsidTr="006E185A">
        <w:trPr>
          <w:trHeight w:val="390"/>
          <w:jc w:val="center"/>
        </w:trPr>
        <w:tc>
          <w:tcPr>
            <w:tcW w:w="9322" w:type="dxa"/>
            <w:gridSpan w:val="2"/>
            <w:shd w:val="clear" w:color="auto" w:fill="C6D9F1"/>
            <w:vAlign w:val="center"/>
          </w:tcPr>
          <w:p w:rsidR="003D0DCF" w:rsidRPr="00027E73" w:rsidRDefault="003D0DCF" w:rsidP="00AD6853">
            <w:pPr>
              <w:spacing w:after="0" w:line="240" w:lineRule="auto"/>
              <w:rPr>
                <w:sz w:val="24"/>
                <w:szCs w:val="24"/>
              </w:rPr>
            </w:pPr>
            <w:r w:rsidRPr="008D728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3.</w:t>
            </w:r>
            <w:r w:rsidRPr="008D7289">
              <w:rPr>
                <w:sz w:val="24"/>
                <w:szCs w:val="24"/>
              </w:rPr>
              <w:t xml:space="preserve"> Requisitos de aprobación</w:t>
            </w:r>
            <w:r>
              <w:rPr>
                <w:sz w:val="24"/>
                <w:szCs w:val="24"/>
              </w:rPr>
              <w:t>.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vAlign w:val="center"/>
          </w:tcPr>
          <w:p w:rsidR="000B2051" w:rsidRDefault="003D0DCF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rendir examen de primera instancia serán requisitos:</w:t>
            </w:r>
          </w:p>
          <w:p w:rsidR="003D0DCF" w:rsidRDefault="002645D9" w:rsidP="000E47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Asistencia mínima de </w:t>
            </w:r>
            <w:r w:rsidR="003D0D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3D0DCF">
              <w:rPr>
                <w:sz w:val="24"/>
                <w:szCs w:val="24"/>
              </w:rPr>
              <w:t>%</w:t>
            </w:r>
          </w:p>
          <w:p w:rsidR="003D0DCF" w:rsidRDefault="003D0DCF" w:rsidP="000E47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Promedio de notas d</w:t>
            </w:r>
            <w:r w:rsidR="00CF4899">
              <w:rPr>
                <w:sz w:val="24"/>
                <w:szCs w:val="24"/>
              </w:rPr>
              <w:t>el semestre igual o mayor a 3.5</w:t>
            </w:r>
          </w:p>
          <w:p w:rsidR="003D0DCF" w:rsidRDefault="003D0DCF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D0DCF" w:rsidRDefault="003D0DCF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Quienes no cumplan con los requisitos para presentarse al examen de primera instancia tendrán derecho a rendir examen de segunda oportunidad.</w:t>
            </w:r>
          </w:p>
          <w:p w:rsidR="000E47C3" w:rsidRPr="008D7289" w:rsidRDefault="000E47C3" w:rsidP="00AD68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D0DCF" w:rsidRPr="008D7289" w:rsidTr="006E185A">
        <w:trPr>
          <w:jc w:val="center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3D0DCF" w:rsidRDefault="003D0DCF" w:rsidP="00006E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D7289">
              <w:rPr>
                <w:sz w:val="24"/>
                <w:szCs w:val="24"/>
              </w:rPr>
              <w:t>. Palabras Clave</w:t>
            </w:r>
          </w:p>
        </w:tc>
      </w:tr>
      <w:tr w:rsidR="000B2051" w:rsidRPr="00006EAE" w:rsidTr="006E185A">
        <w:trPr>
          <w:trHeight w:val="326"/>
          <w:jc w:val="center"/>
        </w:trPr>
        <w:tc>
          <w:tcPr>
            <w:tcW w:w="9322" w:type="dxa"/>
            <w:gridSpan w:val="2"/>
            <w:vAlign w:val="center"/>
          </w:tcPr>
          <w:p w:rsidR="00587F05" w:rsidRPr="00006EAE" w:rsidRDefault="002645D9" w:rsidP="007D2EC4">
            <w:pPr>
              <w:jc w:val="both"/>
              <w:rPr>
                <w:rFonts w:cs="Arial"/>
                <w:bCs/>
                <w:sz w:val="24"/>
                <w:lang w:val="es-ES"/>
              </w:rPr>
            </w:pPr>
            <w:r>
              <w:rPr>
                <w:rFonts w:cs="Calibri"/>
                <w:lang w:eastAsia="es-CL"/>
              </w:rPr>
              <w:t xml:space="preserve">Indicadores, </w:t>
            </w:r>
            <w:r>
              <w:rPr>
                <w:rFonts w:cs="Calibri"/>
                <w:sz w:val="24"/>
                <w:szCs w:val="24"/>
                <w:lang w:eastAsia="es-CL"/>
              </w:rPr>
              <w:t>Análisis crítico, metodología, descripción de datos, sistema de datos.</w:t>
            </w:r>
          </w:p>
        </w:tc>
      </w:tr>
      <w:tr w:rsidR="000E47C3" w:rsidRPr="00006EAE" w:rsidTr="006E185A">
        <w:trPr>
          <w:trHeight w:val="326"/>
          <w:jc w:val="center"/>
        </w:trPr>
        <w:tc>
          <w:tcPr>
            <w:tcW w:w="9322" w:type="dxa"/>
            <w:gridSpan w:val="2"/>
            <w:shd w:val="clear" w:color="auto" w:fill="C6D9F1"/>
            <w:vAlign w:val="center"/>
          </w:tcPr>
          <w:p w:rsidR="000E47C3" w:rsidRDefault="00F37437" w:rsidP="00AD6853">
            <w:pPr>
              <w:jc w:val="both"/>
              <w:rPr>
                <w:rFonts w:cs="Arial"/>
                <w:bCs/>
                <w:sz w:val="24"/>
                <w:lang w:val="es-ES"/>
              </w:rPr>
            </w:pPr>
            <w:r>
              <w:rPr>
                <w:rFonts w:cs="Arial"/>
                <w:bCs/>
                <w:sz w:val="24"/>
                <w:lang w:val="es-ES"/>
              </w:rPr>
              <w:t>15. Bibliografía obligatoria y complementaria por clase</w:t>
            </w:r>
          </w:p>
        </w:tc>
      </w:tr>
      <w:tr w:rsidR="000E47C3" w:rsidRPr="00006EAE" w:rsidTr="006E185A">
        <w:trPr>
          <w:trHeight w:val="326"/>
          <w:jc w:val="center"/>
        </w:trPr>
        <w:tc>
          <w:tcPr>
            <w:tcW w:w="9322" w:type="dxa"/>
            <w:gridSpan w:val="2"/>
            <w:vAlign w:val="center"/>
          </w:tcPr>
          <w:p w:rsidR="008868DD" w:rsidRDefault="008868DD" w:rsidP="008868DD">
            <w:pPr>
              <w:spacing w:after="0" w:line="240" w:lineRule="auto"/>
              <w:jc w:val="both"/>
              <w:rPr>
                <w:rFonts w:cs="Arial"/>
                <w:bCs/>
                <w:sz w:val="24"/>
                <w:lang w:val="es-ES"/>
              </w:rPr>
            </w:pPr>
          </w:p>
        </w:tc>
      </w:tr>
      <w:tr w:rsidR="003D0DCF" w:rsidRPr="00006EAE" w:rsidTr="006E185A">
        <w:trPr>
          <w:jc w:val="center"/>
        </w:trPr>
        <w:tc>
          <w:tcPr>
            <w:tcW w:w="9322" w:type="dxa"/>
            <w:gridSpan w:val="2"/>
            <w:shd w:val="clear" w:color="auto" w:fill="BFBFBF"/>
            <w:vAlign w:val="center"/>
          </w:tcPr>
          <w:p w:rsidR="003D0DCF" w:rsidRPr="00006EAE" w:rsidRDefault="00904286" w:rsidP="00904286">
            <w:pPr>
              <w:spacing w:after="0" w:line="240" w:lineRule="auto"/>
              <w:rPr>
                <w:rFonts w:cs="Arial"/>
                <w:bCs/>
                <w:sz w:val="24"/>
                <w:lang w:val="es-ES"/>
              </w:rPr>
            </w:pPr>
            <w:r w:rsidRPr="008D72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D7289">
              <w:rPr>
                <w:sz w:val="24"/>
                <w:szCs w:val="24"/>
              </w:rPr>
              <w:t>. Bibliografía Obligatoria</w:t>
            </w:r>
          </w:p>
        </w:tc>
      </w:tr>
      <w:tr w:rsidR="000B2051" w:rsidRPr="007F5314" w:rsidTr="006E185A">
        <w:trPr>
          <w:jc w:val="center"/>
        </w:trPr>
        <w:tc>
          <w:tcPr>
            <w:tcW w:w="9322" w:type="dxa"/>
            <w:gridSpan w:val="2"/>
            <w:vAlign w:val="center"/>
          </w:tcPr>
          <w:p w:rsidR="002645D9" w:rsidRPr="007F5314" w:rsidRDefault="002645D9" w:rsidP="0003392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Cecchini, S. (2005): “Indicadores sociales en América Latina y el Caribe”. CEPAL.</w:t>
            </w:r>
            <w:r w:rsidR="007F5314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División de Estadísticas y Proyecciones Económicas. Santiago, Chile.</w:t>
            </w:r>
          </w:p>
          <w:p w:rsidR="007F5314" w:rsidRDefault="002645D9" w:rsidP="0003392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CONEVAL (2013): Manual para el Diseño y la Construcción de Indicadores.</w:t>
            </w:r>
            <w:r w:rsidR="007F5314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Instrumentos principales para el monitoreo de programas sociales de México.</w:t>
            </w:r>
            <w:r w:rsidR="007F5314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Consejo Nacional de Evaluación de la Política de Desarrollo Social, Gobierno</w:t>
            </w:r>
            <w:r w:rsidR="007F5314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Federal: México</w:t>
            </w:r>
          </w:p>
          <w:p w:rsidR="00033926" w:rsidRPr="00033926" w:rsidRDefault="00033926" w:rsidP="0003392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>Alkire, S., &amp; Foster, J. (2007). Recuento y medición multidimensional de la pobreza. Documento de trabajo OPHI, 7.</w:t>
            </w:r>
          </w:p>
        </w:tc>
      </w:tr>
      <w:tr w:rsidR="00904286" w:rsidRPr="008D7289" w:rsidTr="006E185A">
        <w:trPr>
          <w:jc w:val="center"/>
        </w:trPr>
        <w:tc>
          <w:tcPr>
            <w:tcW w:w="9322" w:type="dxa"/>
            <w:gridSpan w:val="2"/>
            <w:shd w:val="clear" w:color="auto" w:fill="BFBFBF"/>
            <w:vAlign w:val="center"/>
          </w:tcPr>
          <w:p w:rsidR="00904286" w:rsidRPr="00871DF0" w:rsidRDefault="00904286" w:rsidP="00006E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D7289">
              <w:rPr>
                <w:sz w:val="24"/>
                <w:szCs w:val="24"/>
              </w:rPr>
              <w:t>. Bibliografía Complementaria</w:t>
            </w:r>
          </w:p>
        </w:tc>
      </w:tr>
      <w:tr w:rsidR="000B2051" w:rsidRPr="008D7289" w:rsidTr="006E185A">
        <w:trPr>
          <w:jc w:val="center"/>
        </w:trPr>
        <w:tc>
          <w:tcPr>
            <w:tcW w:w="9322" w:type="dxa"/>
            <w:gridSpan w:val="2"/>
            <w:vAlign w:val="center"/>
          </w:tcPr>
          <w:p w:rsidR="00033926" w:rsidRPr="00033926" w:rsidRDefault="00033926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Gutiérrez-Espeleta, Édgar E. (2002): “Indicadores sociales: una breve interpretación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de su estado de desarrollo”, en Sojo (ed), “Desarrollo social en América Latina y el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Caribe: temas y desafíos para las políticas públicas”. FLACSOBM. San José de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Costa Rica.</w:t>
            </w:r>
          </w:p>
          <w:p w:rsidR="00AC46DA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val="en-US" w:eastAsia="es-CL"/>
              </w:rPr>
              <w:t xml:space="preserve">CEPAL-BID-BIRD (2000): “Sexto taller regional. 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Indicadores sobre el desarrollo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social” [compendio]. Serie Conferencias y Reuniones, Buenos Aires, Argentina, 15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al 17 de noviembre de 2000.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INE (2015): Guía metodológica para incorporar el enfoque de género en las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estadísticas. Gobierno de Chile, Ministerio de Economía, Fomento y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Reconstrucción, Instituto Nacional de Estadísticas (INE).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Kaztman, R. (2000). Notas sobre la medición de la vulnerabilidad social. BID Banco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Mundial-CEPAL-IDEC, 5, 275-301.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Kaztman, R. (1999). Activos y estructuras de oportunidades: estudios sobre las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raíces de la vulnerabilidad social en Uruguay.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5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lastRenderedPageBreak/>
              <w:t xml:space="preserve">Mancero, X. (2001).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La medición del desarrollo humano: elementos de un debate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.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Cepal.</w:t>
            </w:r>
          </w:p>
          <w:p w:rsidR="00AC46DA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Ministerio de Desarrollo Social (2016): “Metodología de medición de pobreza Multidimensional con entorno y redes”. Gobierno de Chile, Ministerio de Desarrollo Social: Serie Documentos Metodológicos Nº32, División Observatorio Social.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Versión revisada: 26 de Diciembre de 2016.</w:t>
            </w:r>
          </w:p>
          <w:p w:rsidR="00AC46DA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Ministerio de Desarrollo Social (2015): “Nueva Metodología de Medición de la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Pobreza por Ingresos y Multidimensional”. Gobierno de Chile, Ministerio de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Desarrollo Social: Serie Documentos Metodológicos Nº28, División Observatorio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Social. Versión revisada: 26 de Enero de 2015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OPHI (Oxford Poverty and Humand Development Initiative) (2015): Las dimensiones faltantes en la medición de la pobreza. Corporación Andina de</w:t>
            </w:r>
            <w:r>
              <w:rPr>
                <w:rFonts w:ascii="Times New Roman" w:hAnsi="Times New Roman"/>
                <w:sz w:val="24"/>
                <w:szCs w:val="24"/>
                <w:lang w:val="en-US"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Fomento (CAF), Bogotá: 2015, 142 p.</w:t>
            </w:r>
          </w:p>
          <w:p w:rsidR="00AC46DA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Moreno, J (2015):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Déficit habitacional en América Latina y el Caribe: una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herramienta para el diagnóstico y el desarrollo de políticas efectivas en vivienda y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hábitat. Naciones Unidas, Programa de Asentamientos Humanos, ONU-Habitat.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HS/024/15S ISBN: 978-92-1-132648-2, Nairobi, 2015: 82 pp.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Naciones Unidas (2012): Indicadores de derechos humanos: guía para la medición y aplicación. Oficina del Alto Comisionado de Naciones Unidas para los Derechos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Humanos (ACNUDH).</w:t>
            </w:r>
          </w:p>
          <w:p w:rsidR="00AC46DA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Naciones Unidas (1989):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Manual de indicadores sociales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>. Naciones Unidas, Nueva</w:t>
            </w:r>
          </w:p>
          <w:p w:rsidR="00AC46DA" w:rsidRDefault="00AC46DA" w:rsidP="00AC46D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York.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Ramos, C. (2016): La producción de la pobreza como objeto de gobierno.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Ediciones Universidad Alberto Hurtado, Santiago: 383 pp.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Rodríguez, J. (2001): “Segregación residencial socioeconómica:¿ qué es?,¿ cómo se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mide?,¿ qué está pasando?,¿ importa?”.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CELADE-CEPAL, Serie Población Y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Desarrollo N° 16, Santiago de Chile, octubre de 2001.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val="en-US" w:eastAsia="es-CL"/>
              </w:rPr>
              <w:t xml:space="preserve">Sen, A.K. (2001): Development as freedom. </w:t>
            </w:r>
            <w:r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Oxford Paperbacks., Bienestar, justicia </w:t>
            </w:r>
            <w:r w:rsidRPr="007F5314">
              <w:rPr>
                <w:rFonts w:ascii="Times New Roman" w:hAnsi="Times New Roman"/>
                <w:sz w:val="24"/>
                <w:szCs w:val="24"/>
                <w:lang w:eastAsia="es-CL"/>
              </w:rPr>
              <w:t>y mercado. Paidós, Barcelona, 1997.</w:t>
            </w:r>
          </w:p>
          <w:p w:rsidR="00AC46DA" w:rsidRPr="007F5314" w:rsidRDefault="00AC46DA" w:rsidP="000339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CL"/>
              </w:rPr>
            </w:pPr>
            <w:r w:rsidRPr="007F5314">
              <w:rPr>
                <w:rFonts w:ascii="Times New Roman" w:hAnsi="Times New Roman"/>
                <w:sz w:val="24"/>
                <w:szCs w:val="24"/>
                <w:lang w:val="en-US" w:eastAsia="es-CL"/>
              </w:rPr>
              <w:t>Sen, A.K. (1992): Inequality reexamined. Oxford university press, Oxford, 1992.</w:t>
            </w:r>
          </w:p>
          <w:p w:rsidR="002645D9" w:rsidRDefault="002645D9" w:rsidP="006D1DAC">
            <w:pPr>
              <w:spacing w:after="0" w:line="240" w:lineRule="auto"/>
              <w:jc w:val="both"/>
              <w:rPr>
                <w:rFonts w:cs="Arial"/>
                <w:bCs/>
                <w:sz w:val="24"/>
                <w:lang w:val="es-ES_tradnl"/>
              </w:rPr>
            </w:pPr>
          </w:p>
          <w:p w:rsidR="006E185A" w:rsidRPr="006D1DAC" w:rsidRDefault="006E185A" w:rsidP="006D1DAC">
            <w:pPr>
              <w:spacing w:after="0" w:line="240" w:lineRule="auto"/>
              <w:jc w:val="both"/>
              <w:rPr>
                <w:rFonts w:cs="Arial"/>
                <w:bCs/>
                <w:sz w:val="24"/>
                <w:lang w:val="es-ES_tradnl"/>
              </w:rPr>
            </w:pPr>
          </w:p>
        </w:tc>
      </w:tr>
    </w:tbl>
    <w:p w:rsidR="000B2051" w:rsidRDefault="000B2051" w:rsidP="005A78C4">
      <w:pPr>
        <w:spacing w:after="0" w:line="240" w:lineRule="auto"/>
      </w:pPr>
    </w:p>
    <w:p w:rsidR="006E185A" w:rsidRDefault="006E185A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</w:p>
    <w:p w:rsidR="006E185A" w:rsidRDefault="006E185A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</w:p>
    <w:p w:rsidR="006E185A" w:rsidRDefault="006E185A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</w:p>
    <w:p w:rsidR="006E185A" w:rsidRDefault="006E185A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</w:p>
    <w:p w:rsidR="006E185A" w:rsidRDefault="006E185A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</w:p>
    <w:p w:rsidR="006E185A" w:rsidRDefault="00A919D7" w:rsidP="005A78C4">
      <w:pPr>
        <w:spacing w:after="0" w:line="240" w:lineRule="auto"/>
        <w:rPr>
          <w:rFonts w:ascii="Calibri,Bold" w:hAnsi="Calibri,Bold" w:cs="Calibri,Bold"/>
          <w:b/>
          <w:bCs/>
          <w:lang w:eastAsia="es-CL"/>
        </w:rPr>
      </w:pPr>
      <w:r>
        <w:rPr>
          <w:rFonts w:ascii="Calibri,Bold" w:hAnsi="Calibri,Bold" w:cs="Calibri,Bold"/>
          <w:b/>
          <w:bCs/>
          <w:lang w:eastAsia="es-CL"/>
        </w:rPr>
        <w:br w:type="page"/>
      </w:r>
    </w:p>
    <w:p w:rsidR="006E185A" w:rsidRDefault="006E185A" w:rsidP="006E185A">
      <w:pPr>
        <w:spacing w:after="0" w:line="240" w:lineRule="auto"/>
        <w:jc w:val="center"/>
        <w:rPr>
          <w:rFonts w:ascii="Calibri,Bold" w:hAnsi="Calibri,Bold" w:cs="Calibri,Bold"/>
          <w:b/>
          <w:bCs/>
          <w:lang w:eastAsia="es-CL"/>
        </w:rPr>
      </w:pPr>
      <w:r>
        <w:rPr>
          <w:rFonts w:ascii="Calibri,Bold" w:hAnsi="Calibri,Bold" w:cs="Calibri,Bold"/>
          <w:b/>
          <w:bCs/>
          <w:lang w:eastAsia="es-CL"/>
        </w:rPr>
        <w:t>PLAN DE TRABAJO</w:t>
      </w:r>
    </w:p>
    <w:tbl>
      <w:tblPr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6521"/>
        <w:gridCol w:w="634"/>
      </w:tblGrid>
      <w:tr w:rsidR="00476B20" w:rsidTr="00476B20">
        <w:tc>
          <w:tcPr>
            <w:tcW w:w="675" w:type="dxa"/>
            <w:shd w:val="clear" w:color="auto" w:fill="auto"/>
          </w:tcPr>
          <w:p w:rsidR="00476B20" w:rsidRPr="00D9007C" w:rsidRDefault="00476B20" w:rsidP="00D9007C">
            <w:pPr>
              <w:spacing w:after="0" w:line="240" w:lineRule="auto"/>
              <w:jc w:val="center"/>
              <w:rPr>
                <w:spacing w:val="-20"/>
                <w:sz w:val="18"/>
              </w:rPr>
            </w:pPr>
            <w:r w:rsidRPr="00D9007C">
              <w:rPr>
                <w:spacing w:val="-20"/>
                <w:sz w:val="18"/>
              </w:rPr>
              <w:t>SESION</w:t>
            </w:r>
          </w:p>
        </w:tc>
        <w:tc>
          <w:tcPr>
            <w:tcW w:w="567" w:type="dxa"/>
            <w:shd w:val="clear" w:color="auto" w:fill="auto"/>
          </w:tcPr>
          <w:p w:rsidR="00476B20" w:rsidRPr="00D9007C" w:rsidRDefault="00476B20" w:rsidP="00D9007C">
            <w:pPr>
              <w:spacing w:after="0" w:line="240" w:lineRule="auto"/>
              <w:ind w:left="-108" w:right="-108"/>
              <w:jc w:val="center"/>
              <w:rPr>
                <w:spacing w:val="-20"/>
                <w:sz w:val="18"/>
              </w:rPr>
            </w:pPr>
            <w:r w:rsidRPr="00D9007C">
              <w:rPr>
                <w:spacing w:val="-20"/>
                <w:sz w:val="18"/>
              </w:rPr>
              <w:t>UNIDAD</w:t>
            </w:r>
          </w:p>
        </w:tc>
        <w:tc>
          <w:tcPr>
            <w:tcW w:w="6521" w:type="dxa"/>
            <w:shd w:val="clear" w:color="auto" w:fill="auto"/>
          </w:tcPr>
          <w:p w:rsidR="00476B20" w:rsidRPr="00D9007C" w:rsidRDefault="00476B20" w:rsidP="00D9007C">
            <w:pPr>
              <w:spacing w:after="0" w:line="240" w:lineRule="auto"/>
              <w:rPr>
                <w:spacing w:val="-20"/>
                <w:sz w:val="18"/>
              </w:rPr>
            </w:pPr>
            <w:r w:rsidRPr="00D9007C">
              <w:rPr>
                <w:spacing w:val="-20"/>
                <w:sz w:val="18"/>
              </w:rPr>
              <w:t>CONTENIDO</w:t>
            </w:r>
          </w:p>
        </w:tc>
        <w:tc>
          <w:tcPr>
            <w:tcW w:w="634" w:type="dxa"/>
            <w:shd w:val="clear" w:color="auto" w:fill="auto"/>
          </w:tcPr>
          <w:p w:rsidR="00476B20" w:rsidRPr="00D9007C" w:rsidRDefault="00476B20" w:rsidP="00D9007C">
            <w:pPr>
              <w:spacing w:after="0" w:line="240" w:lineRule="auto"/>
              <w:ind w:left="-41" w:right="-108"/>
              <w:jc w:val="center"/>
              <w:rPr>
                <w:spacing w:val="-20"/>
                <w:sz w:val="18"/>
              </w:rPr>
            </w:pPr>
            <w:r w:rsidRPr="00D9007C">
              <w:rPr>
                <w:spacing w:val="-20"/>
                <w:sz w:val="18"/>
              </w:rPr>
              <w:t>FECHA</w:t>
            </w:r>
          </w:p>
        </w:tc>
      </w:tr>
      <w:tr w:rsidR="00476B20" w:rsidTr="00476B20">
        <w:tc>
          <w:tcPr>
            <w:tcW w:w="675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ind w:right="-10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 xml:space="preserve">Introducción </w:t>
            </w:r>
            <w:r w:rsidR="004F3441">
              <w:rPr>
                <w:rFonts w:cs="Calibri"/>
                <w:sz w:val="18"/>
                <w:szCs w:val="18"/>
                <w:lang w:eastAsia="es-CL"/>
              </w:rPr>
              <w:t xml:space="preserve">a los indicadores sociales </w:t>
            </w:r>
          </w:p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Historia y visión sobre sistemas de indicadores sociales</w:t>
            </w:r>
          </w:p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Indicadores para el diagnóstico social con datos de la</w:t>
            </w:r>
          </w:p>
          <w:p w:rsidR="00794A3C" w:rsidRDefault="00794A3C" w:rsidP="00794A3C">
            <w:pPr>
              <w:spacing w:after="0" w:line="240" w:lineRule="auto"/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Encuesta Casen 2015</w:t>
            </w:r>
          </w:p>
        </w:tc>
        <w:tc>
          <w:tcPr>
            <w:tcW w:w="634" w:type="dxa"/>
            <w:shd w:val="clear" w:color="auto" w:fill="auto"/>
          </w:tcPr>
          <w:p w:rsidR="00476B20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ind w:left="-41" w:right="-108"/>
              <w:jc w:val="center"/>
              <w:rPr>
                <w:rFonts w:cs="Calibri"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  <w:lang w:eastAsia="es-CL"/>
              </w:rPr>
              <w:t>15/03</w:t>
            </w:r>
          </w:p>
        </w:tc>
      </w:tr>
      <w:tr w:rsidR="00476B20" w:rsidTr="00476B20">
        <w:tc>
          <w:tcPr>
            <w:tcW w:w="675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  <w:lang w:eastAsia="es-CL"/>
              </w:rPr>
              <w:t>P</w:t>
            </w:r>
            <w:r w:rsidRPr="00D9007C">
              <w:rPr>
                <w:rFonts w:cs="Calibri"/>
                <w:sz w:val="18"/>
                <w:szCs w:val="18"/>
                <w:lang w:eastAsia="es-CL"/>
              </w:rPr>
              <w:t>aradigmas y modelos para la producción de indicadores sociales</w:t>
            </w:r>
          </w:p>
          <w:p w:rsidR="00476B20" w:rsidRPr="00D9007C" w:rsidRDefault="00794A3C" w:rsidP="00794A3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Indicadores de la Agenda 2030 de Objetivos de Desarrollo Sostenible</w:t>
            </w:r>
          </w:p>
        </w:tc>
        <w:tc>
          <w:tcPr>
            <w:tcW w:w="634" w:type="dxa"/>
            <w:shd w:val="clear" w:color="auto" w:fill="auto"/>
          </w:tcPr>
          <w:p w:rsidR="00476B20" w:rsidRDefault="00794A3C" w:rsidP="00D9007C">
            <w:pPr>
              <w:spacing w:after="0" w:line="240" w:lineRule="auto"/>
              <w:ind w:left="-41" w:right="-108"/>
              <w:jc w:val="center"/>
            </w:pPr>
            <w:r>
              <w:t>22/03</w:t>
            </w:r>
          </w:p>
        </w:tc>
      </w:tr>
      <w:tr w:rsidR="00476B20" w:rsidTr="00476B20">
        <w:tc>
          <w:tcPr>
            <w:tcW w:w="675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Metodologías para la construcción de indicadores sociales</w:t>
            </w:r>
          </w:p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Diseño metodológico y aplicaciones de la Encuesta de</w:t>
            </w:r>
          </w:p>
          <w:p w:rsidR="00476B20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Caracterización Socioeconómica Nacional (Casen)</w:t>
            </w:r>
          </w:p>
        </w:tc>
        <w:tc>
          <w:tcPr>
            <w:tcW w:w="634" w:type="dxa"/>
            <w:shd w:val="clear" w:color="auto" w:fill="auto"/>
          </w:tcPr>
          <w:p w:rsidR="00476B20" w:rsidRDefault="00794A3C" w:rsidP="00D9007C">
            <w:pPr>
              <w:spacing w:after="0" w:line="240" w:lineRule="auto"/>
              <w:ind w:left="-41" w:right="-108"/>
              <w:jc w:val="center"/>
            </w:pPr>
            <w:r>
              <w:t>29/03</w:t>
            </w:r>
          </w:p>
        </w:tc>
      </w:tr>
      <w:tr w:rsidR="00476B20" w:rsidTr="00476B20">
        <w:tc>
          <w:tcPr>
            <w:tcW w:w="675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76B20" w:rsidRDefault="00476B20" w:rsidP="00D900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476B20" w:rsidRPr="00D9007C" w:rsidRDefault="00794A3C" w:rsidP="00D9007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Prueba escrita</w:t>
            </w:r>
            <w:r>
              <w:rPr>
                <w:rFonts w:cs="Calibri"/>
                <w:sz w:val="18"/>
                <w:szCs w:val="18"/>
                <w:lang w:eastAsia="es-CL"/>
              </w:rPr>
              <w:t xml:space="preserve"> 1</w:t>
            </w:r>
          </w:p>
        </w:tc>
        <w:tc>
          <w:tcPr>
            <w:tcW w:w="634" w:type="dxa"/>
            <w:shd w:val="clear" w:color="auto" w:fill="auto"/>
          </w:tcPr>
          <w:p w:rsidR="00476B20" w:rsidRDefault="00794A3C" w:rsidP="00D9007C">
            <w:pPr>
              <w:spacing w:after="0" w:line="240" w:lineRule="auto"/>
              <w:ind w:left="-41" w:right="-108"/>
              <w:jc w:val="center"/>
            </w:pPr>
            <w:r>
              <w:t>05/04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Medición de la pobreza y del bienestar</w:t>
            </w:r>
          </w:p>
          <w:p w:rsidR="00794A3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Nueva metodología oficial para la medición de la pobreza en Chile. Experiencia y resultados 2006-2015</w:t>
            </w:r>
          </w:p>
          <w:p w:rsidR="00794A3C" w:rsidRPr="00D9007C" w:rsidRDefault="00794A3C" w:rsidP="004F34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</w:p>
        </w:tc>
        <w:tc>
          <w:tcPr>
            <w:tcW w:w="634" w:type="dxa"/>
            <w:shd w:val="clear" w:color="auto" w:fill="auto"/>
          </w:tcPr>
          <w:p w:rsidR="00794A3C" w:rsidRDefault="00794A3C" w:rsidP="00FB6AF2">
            <w:pPr>
              <w:spacing w:after="0" w:line="240" w:lineRule="auto"/>
              <w:ind w:left="-41" w:right="-108"/>
              <w:jc w:val="center"/>
            </w:pPr>
            <w:r>
              <w:t>12/4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794A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Indicadores de desarrollo humano y vulnerabilidad</w:t>
            </w:r>
          </w:p>
          <w:p w:rsidR="00794A3C" w:rsidRPr="00D9007C" w:rsidRDefault="00794A3C" w:rsidP="00794A3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Indicadores de vulnerabilidad territorial: diagnóstico de la región de Valparaíso</w:t>
            </w:r>
          </w:p>
        </w:tc>
        <w:tc>
          <w:tcPr>
            <w:tcW w:w="634" w:type="dxa"/>
            <w:shd w:val="clear" w:color="auto" w:fill="auto"/>
          </w:tcPr>
          <w:p w:rsidR="00794A3C" w:rsidRDefault="00794A3C" w:rsidP="00FB6AF2">
            <w:pPr>
              <w:spacing w:after="0" w:line="240" w:lineRule="auto"/>
              <w:ind w:left="-41" w:right="-108"/>
              <w:jc w:val="center"/>
            </w:pPr>
            <w:r>
              <w:t>26/4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4F34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Ejercicio práctico #1: Construcción y análisis de indicadores sociales con datos de</w:t>
            </w:r>
            <w:r>
              <w:rPr>
                <w:rFonts w:cs="Calibri"/>
                <w:sz w:val="18"/>
                <w:szCs w:val="18"/>
                <w:lang w:eastAsia="es-CL"/>
              </w:rPr>
              <w:t xml:space="preserve"> la Encuesta Casen 2015 (SPSS).</w:t>
            </w:r>
          </w:p>
        </w:tc>
        <w:tc>
          <w:tcPr>
            <w:tcW w:w="634" w:type="dxa"/>
            <w:shd w:val="clear" w:color="auto" w:fill="auto"/>
          </w:tcPr>
          <w:p w:rsidR="00794A3C" w:rsidRDefault="00794A3C" w:rsidP="00FB6AF2">
            <w:pPr>
              <w:spacing w:after="0" w:line="240" w:lineRule="auto"/>
              <w:ind w:left="-41" w:right="-108"/>
              <w:jc w:val="center"/>
            </w:pPr>
            <w:r>
              <w:t>3/5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 xml:space="preserve"> indicadores de desigualdad, paridad y brechas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Medición de la segregación residencial con datos censales.</w:t>
            </w:r>
          </w:p>
        </w:tc>
        <w:tc>
          <w:tcPr>
            <w:tcW w:w="634" w:type="dxa"/>
            <w:shd w:val="clear" w:color="auto" w:fill="auto"/>
          </w:tcPr>
          <w:p w:rsidR="00794A3C" w:rsidRDefault="00794A3C" w:rsidP="00FB6AF2">
            <w:pPr>
              <w:spacing w:after="0" w:line="240" w:lineRule="auto"/>
              <w:ind w:left="-41" w:right="-108"/>
              <w:jc w:val="center"/>
            </w:pPr>
            <w:r>
              <w:t>10/5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Ejercicio práctico #2: Construcción de indicadores sociodemográficos y de</w:t>
            </w:r>
          </w:p>
          <w:p w:rsidR="00794A3C" w:rsidRPr="00D9007C" w:rsidRDefault="00794A3C" w:rsidP="004F34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brechas utilizan</w:t>
            </w:r>
            <w:r>
              <w:rPr>
                <w:rFonts w:cs="Calibri"/>
                <w:sz w:val="18"/>
                <w:szCs w:val="18"/>
                <w:lang w:eastAsia="es-CL"/>
              </w:rPr>
              <w:t>do planillas de cálculo (Excel)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FB6AF2">
            <w:pPr>
              <w:spacing w:after="0" w:line="240" w:lineRule="auto"/>
              <w:ind w:left="-41" w:right="-108"/>
              <w:jc w:val="center"/>
            </w:pPr>
            <w:r>
              <w:t>17</w:t>
            </w:r>
            <w:r w:rsidR="00794A3C">
              <w:t>/5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Indicadores para el diagnóstico, monitoreo y la evaluación de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políticas y programas sociales</w:t>
            </w:r>
          </w:p>
          <w:p w:rsidR="00794A3C" w:rsidRPr="00D9007C" w:rsidRDefault="00794A3C" w:rsidP="00D9007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Medición del déficit habitacional en América Latina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FB6AF2">
            <w:pPr>
              <w:spacing w:after="0" w:line="240" w:lineRule="auto"/>
              <w:ind w:left="-41" w:right="-108"/>
              <w:jc w:val="center"/>
            </w:pPr>
            <w:r>
              <w:t>24</w:t>
            </w:r>
            <w:r w:rsidR="00794A3C">
              <w:t>/5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enfoque de género e indicadores sobre grupos de población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Medición de la discapacidad: enfoques del Grupo de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Washington y de la OMS. Experiencia y resultados del II Estudio Nacional de la Discapacidad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FB6AF2">
            <w:pPr>
              <w:spacing w:after="0" w:line="240" w:lineRule="auto"/>
              <w:ind w:left="-41" w:right="-108"/>
              <w:jc w:val="center"/>
            </w:pPr>
            <w:r>
              <w:t>31</w:t>
            </w:r>
            <w:r w:rsidR="00794A3C">
              <w:t>/5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Prueba escrita</w:t>
            </w:r>
            <w:r>
              <w:rPr>
                <w:rFonts w:cs="Calibri"/>
                <w:sz w:val="18"/>
                <w:szCs w:val="18"/>
                <w:lang w:eastAsia="es-CL"/>
              </w:rPr>
              <w:t xml:space="preserve"> 2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A24597">
            <w:pPr>
              <w:spacing w:after="0" w:line="240" w:lineRule="auto"/>
              <w:ind w:left="-41" w:right="-108"/>
              <w:jc w:val="center"/>
            </w:pPr>
            <w:r>
              <w:t>7/</w:t>
            </w:r>
            <w:r w:rsidR="00794A3C">
              <w:t>6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  <w:lang w:eastAsia="es-CL"/>
              </w:rPr>
              <w:t>R</w:t>
            </w:r>
            <w:r w:rsidRPr="00D9007C">
              <w:rPr>
                <w:rFonts w:cs="Calibri"/>
                <w:sz w:val="18"/>
                <w:szCs w:val="18"/>
                <w:lang w:eastAsia="es-CL"/>
              </w:rPr>
              <w:t>egistros administrativos y sistemas de información para el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monitoreo y evaluación de programas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Experiencia del Sistema Integrado de Monitoreo y</w:t>
            </w:r>
          </w:p>
          <w:p w:rsidR="00794A3C" w:rsidRPr="00D9007C" w:rsidRDefault="00794A3C" w:rsidP="00D9007C">
            <w:pPr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Evaluación (</w:t>
            </w:r>
            <w:r>
              <w:rPr>
                <w:rFonts w:cs="Calibri"/>
                <w:sz w:val="18"/>
                <w:szCs w:val="18"/>
                <w:lang w:eastAsia="es-CL"/>
              </w:rPr>
              <w:t xml:space="preserve">SIME), 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FB6AF2">
            <w:pPr>
              <w:spacing w:after="0" w:line="240" w:lineRule="auto"/>
              <w:ind w:left="-41" w:right="-108"/>
              <w:jc w:val="center"/>
            </w:pPr>
            <w:r>
              <w:t>14</w:t>
            </w:r>
            <w:r w:rsidR="00794A3C">
              <w:t>/6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Sistemas de Información Geográfica (SIG)</w:t>
            </w:r>
          </w:p>
          <w:p w:rsidR="00794A3C" w:rsidRPr="00D9007C" w:rsidRDefault="00794A3C" w:rsidP="00D900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s-CL"/>
              </w:rPr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Experiencia aplicada: Índice de Exclusión Social a nivel barrial, con base en datos censales.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FB6AF2">
            <w:pPr>
              <w:spacing w:after="0" w:line="240" w:lineRule="auto"/>
              <w:ind w:left="-41" w:right="-108"/>
              <w:jc w:val="center"/>
            </w:pPr>
            <w:r>
              <w:t>21</w:t>
            </w:r>
            <w:r w:rsidR="00794A3C">
              <w:t>/6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Receso / Revisión evaluaciones pendientes</w:t>
            </w:r>
          </w:p>
        </w:tc>
        <w:tc>
          <w:tcPr>
            <w:tcW w:w="634" w:type="dxa"/>
            <w:shd w:val="clear" w:color="auto" w:fill="auto"/>
          </w:tcPr>
          <w:p w:rsidR="00794A3C" w:rsidRDefault="00A24597" w:rsidP="00D9007C">
            <w:pPr>
              <w:spacing w:after="0" w:line="240" w:lineRule="auto"/>
              <w:ind w:left="-41" w:right="-108"/>
              <w:jc w:val="center"/>
            </w:pPr>
            <w:r>
              <w:t>28</w:t>
            </w:r>
            <w:r w:rsidR="00794A3C">
              <w:t>/6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</w:pPr>
            <w:r w:rsidRPr="00D9007C">
              <w:rPr>
                <w:rFonts w:cs="Calibri"/>
                <w:sz w:val="18"/>
                <w:szCs w:val="18"/>
                <w:lang w:eastAsia="es-CL"/>
              </w:rPr>
              <w:t>Examen</w:t>
            </w:r>
          </w:p>
        </w:tc>
        <w:tc>
          <w:tcPr>
            <w:tcW w:w="634" w:type="dxa"/>
            <w:shd w:val="clear" w:color="auto" w:fill="auto"/>
          </w:tcPr>
          <w:p w:rsidR="00794A3C" w:rsidRDefault="00501992" w:rsidP="00D9007C">
            <w:pPr>
              <w:spacing w:after="0" w:line="240" w:lineRule="auto"/>
              <w:ind w:left="-41" w:right="-108"/>
              <w:jc w:val="center"/>
            </w:pPr>
            <w:r>
              <w:t>1</w:t>
            </w:r>
            <w:r w:rsidR="00794A3C">
              <w:t>/7</w:t>
            </w:r>
          </w:p>
        </w:tc>
      </w:tr>
      <w:tr w:rsidR="00794A3C" w:rsidTr="00476B20">
        <w:tc>
          <w:tcPr>
            <w:tcW w:w="675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:rsidR="00794A3C" w:rsidRDefault="00794A3C" w:rsidP="00D9007C">
            <w:pPr>
              <w:spacing w:after="0" w:line="240" w:lineRule="auto"/>
            </w:pPr>
          </w:p>
        </w:tc>
      </w:tr>
    </w:tbl>
    <w:p w:rsidR="006E185A" w:rsidRPr="006E185A" w:rsidRDefault="006E185A" w:rsidP="005A78C4">
      <w:pPr>
        <w:spacing w:after="0" w:line="240" w:lineRule="auto"/>
      </w:pPr>
    </w:p>
    <w:sectPr w:rsidR="006E185A" w:rsidRPr="006E185A" w:rsidSect="005A78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F" w:rsidRDefault="00376CFF" w:rsidP="000B2051">
      <w:pPr>
        <w:spacing w:after="0" w:line="240" w:lineRule="auto"/>
      </w:pPr>
      <w:r>
        <w:separator/>
      </w:r>
    </w:p>
  </w:endnote>
  <w:endnote w:type="continuationSeparator" w:id="0">
    <w:p w:rsidR="00376CFF" w:rsidRDefault="00376CFF" w:rsidP="000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F" w:rsidRDefault="00376CFF" w:rsidP="000B2051">
      <w:pPr>
        <w:spacing w:after="0" w:line="240" w:lineRule="auto"/>
      </w:pPr>
      <w:r>
        <w:separator/>
      </w:r>
    </w:p>
  </w:footnote>
  <w:footnote w:type="continuationSeparator" w:id="0">
    <w:p w:rsidR="00376CFF" w:rsidRDefault="00376CFF" w:rsidP="000B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1" w:rsidRDefault="00014AE6">
    <w:pPr>
      <w:pStyle w:val="Encabezado"/>
    </w:pPr>
    <w:r w:rsidRPr="007F3442">
      <w:rPr>
        <w:noProof/>
        <w:lang w:val="es-CL" w:eastAsia="es-CL"/>
      </w:rPr>
      <w:drawing>
        <wp:inline distT="0" distB="0" distL="0" distR="0">
          <wp:extent cx="1933575" cy="5810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0F33"/>
    <w:multiLevelType w:val="hybridMultilevel"/>
    <w:tmpl w:val="B4687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0DF"/>
    <w:multiLevelType w:val="hybridMultilevel"/>
    <w:tmpl w:val="64FC9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00F6"/>
    <w:multiLevelType w:val="hybridMultilevel"/>
    <w:tmpl w:val="E63659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01752"/>
    <w:multiLevelType w:val="hybridMultilevel"/>
    <w:tmpl w:val="BF080616"/>
    <w:lvl w:ilvl="0" w:tplc="22E28248">
      <w:numFmt w:val="bullet"/>
      <w:lvlText w:val="•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7750"/>
    <w:multiLevelType w:val="hybridMultilevel"/>
    <w:tmpl w:val="00E8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C00A7"/>
    <w:multiLevelType w:val="hybridMultilevel"/>
    <w:tmpl w:val="A4E222F0"/>
    <w:lvl w:ilvl="0" w:tplc="2F040C8C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2C09"/>
    <w:multiLevelType w:val="hybridMultilevel"/>
    <w:tmpl w:val="16204D8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E47401"/>
    <w:multiLevelType w:val="hybridMultilevel"/>
    <w:tmpl w:val="5D5870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6981"/>
    <w:multiLevelType w:val="hybridMultilevel"/>
    <w:tmpl w:val="863E8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82A37"/>
    <w:multiLevelType w:val="hybridMultilevel"/>
    <w:tmpl w:val="4D2E541C"/>
    <w:lvl w:ilvl="0" w:tplc="AE1865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85D7B"/>
    <w:multiLevelType w:val="hybridMultilevel"/>
    <w:tmpl w:val="B94AECCE"/>
    <w:lvl w:ilvl="0" w:tplc="2C0E8B0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96416"/>
    <w:multiLevelType w:val="hybridMultilevel"/>
    <w:tmpl w:val="872035B0"/>
    <w:lvl w:ilvl="0" w:tplc="E1168A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D2083B"/>
    <w:multiLevelType w:val="hybridMultilevel"/>
    <w:tmpl w:val="F12255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D0443"/>
    <w:multiLevelType w:val="hybridMultilevel"/>
    <w:tmpl w:val="23BC58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61E14"/>
    <w:multiLevelType w:val="hybridMultilevel"/>
    <w:tmpl w:val="5D5870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6EAE"/>
    <w:rsid w:val="00014AE6"/>
    <w:rsid w:val="00033926"/>
    <w:rsid w:val="00065232"/>
    <w:rsid w:val="000B2051"/>
    <w:rsid w:val="000E185B"/>
    <w:rsid w:val="000E47C3"/>
    <w:rsid w:val="000F6783"/>
    <w:rsid w:val="001427E7"/>
    <w:rsid w:val="001D542B"/>
    <w:rsid w:val="001E5B35"/>
    <w:rsid w:val="001E7F28"/>
    <w:rsid w:val="002645D9"/>
    <w:rsid w:val="002665B2"/>
    <w:rsid w:val="002778D9"/>
    <w:rsid w:val="0030592F"/>
    <w:rsid w:val="00337A73"/>
    <w:rsid w:val="00376CFF"/>
    <w:rsid w:val="003D0DCF"/>
    <w:rsid w:val="003F7673"/>
    <w:rsid w:val="004003B5"/>
    <w:rsid w:val="00476B20"/>
    <w:rsid w:val="00476EC7"/>
    <w:rsid w:val="004928A7"/>
    <w:rsid w:val="004F3441"/>
    <w:rsid w:val="00501992"/>
    <w:rsid w:val="00587F05"/>
    <w:rsid w:val="005A78C4"/>
    <w:rsid w:val="00672438"/>
    <w:rsid w:val="006D1DAC"/>
    <w:rsid w:val="006E185A"/>
    <w:rsid w:val="00716D9B"/>
    <w:rsid w:val="00727628"/>
    <w:rsid w:val="00794A3C"/>
    <w:rsid w:val="007D2EC4"/>
    <w:rsid w:val="007D6549"/>
    <w:rsid w:val="007F3442"/>
    <w:rsid w:val="007F5314"/>
    <w:rsid w:val="00803C96"/>
    <w:rsid w:val="00877D09"/>
    <w:rsid w:val="008851A6"/>
    <w:rsid w:val="008868DD"/>
    <w:rsid w:val="00890876"/>
    <w:rsid w:val="008A1A87"/>
    <w:rsid w:val="008E15CD"/>
    <w:rsid w:val="00904286"/>
    <w:rsid w:val="0097143F"/>
    <w:rsid w:val="00992BFD"/>
    <w:rsid w:val="009C5395"/>
    <w:rsid w:val="009D4BE3"/>
    <w:rsid w:val="009E159D"/>
    <w:rsid w:val="00A24597"/>
    <w:rsid w:val="00A919D7"/>
    <w:rsid w:val="00AC3C1C"/>
    <w:rsid w:val="00AC46DA"/>
    <w:rsid w:val="00AD6853"/>
    <w:rsid w:val="00AE0CEB"/>
    <w:rsid w:val="00AF00AC"/>
    <w:rsid w:val="00B43472"/>
    <w:rsid w:val="00B543B0"/>
    <w:rsid w:val="00B83486"/>
    <w:rsid w:val="00BB2DF8"/>
    <w:rsid w:val="00C020BB"/>
    <w:rsid w:val="00C3230B"/>
    <w:rsid w:val="00C523AF"/>
    <w:rsid w:val="00C62A34"/>
    <w:rsid w:val="00CC5DE9"/>
    <w:rsid w:val="00CF4899"/>
    <w:rsid w:val="00D01EF5"/>
    <w:rsid w:val="00D9007C"/>
    <w:rsid w:val="00DD7678"/>
    <w:rsid w:val="00DF2B53"/>
    <w:rsid w:val="00E15BD9"/>
    <w:rsid w:val="00E35CCA"/>
    <w:rsid w:val="00EB37BC"/>
    <w:rsid w:val="00F0323D"/>
    <w:rsid w:val="00F37437"/>
    <w:rsid w:val="00F5281D"/>
    <w:rsid w:val="00F53534"/>
    <w:rsid w:val="00F655C9"/>
    <w:rsid w:val="00F75A8F"/>
    <w:rsid w:val="00F76C02"/>
    <w:rsid w:val="00FB6AF2"/>
    <w:rsid w:val="00FC4C8B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B1B36-EC74-4C6C-B55A-6CF9B13D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B20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0B20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B20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0B205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01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D01EF5"/>
    <w:pPr>
      <w:ind w:left="720"/>
      <w:contextualSpacing/>
    </w:pPr>
    <w:rPr>
      <w:rFonts w:eastAsia="Times New Roman"/>
      <w:lang w:eastAsia="es-CL"/>
    </w:rPr>
  </w:style>
  <w:style w:type="character" w:styleId="Refdenotaalpie">
    <w:name w:val="footnote reference"/>
    <w:uiPriority w:val="99"/>
    <w:unhideWhenUsed/>
    <w:rsid w:val="00D01EF5"/>
    <w:rPr>
      <w:vertAlign w:val="superscript"/>
    </w:rPr>
  </w:style>
  <w:style w:type="character" w:styleId="Refdecomentario">
    <w:name w:val="annotation reference"/>
    <w:rsid w:val="001427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427E7"/>
    <w:rPr>
      <w:sz w:val="20"/>
      <w:szCs w:val="20"/>
    </w:rPr>
  </w:style>
  <w:style w:type="character" w:customStyle="1" w:styleId="TextocomentarioCar">
    <w:name w:val="Texto comentario Car"/>
    <w:link w:val="Textocomentario"/>
    <w:rsid w:val="001427E7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7E7"/>
    <w:rPr>
      <w:b/>
      <w:bCs/>
    </w:rPr>
  </w:style>
  <w:style w:type="character" w:customStyle="1" w:styleId="AsuntodelcomentarioCar">
    <w:name w:val="Asunto del comentario Car"/>
    <w:link w:val="Asuntodelcomentario"/>
    <w:rsid w:val="001427E7"/>
    <w:rPr>
      <w:b/>
      <w:bCs/>
      <w:lang w:val="es-CL" w:eastAsia="en-US"/>
    </w:rPr>
  </w:style>
  <w:style w:type="paragraph" w:styleId="Textoindependiente">
    <w:name w:val="Body Text"/>
    <w:basedOn w:val="Normal"/>
    <w:link w:val="TextoindependienteCar"/>
    <w:rsid w:val="00AE0CEB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/>
      <w:spacing w:val="-2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AE0CEB"/>
    <w:rPr>
      <w:rFonts w:ascii="Arial" w:eastAsia="Times New Roman" w:hAnsi="Arial"/>
      <w:spacing w:val="-2"/>
      <w:sz w:val="22"/>
      <w:lang w:val="es-ES_tradnl"/>
    </w:rPr>
  </w:style>
  <w:style w:type="paragraph" w:customStyle="1" w:styleId="BodyText2">
    <w:name w:val="Body Text 2"/>
    <w:basedOn w:val="Normal"/>
    <w:rsid w:val="00AE0CEB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/>
      <w:spacing w:val="-2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Usuario de Windows</cp:lastModifiedBy>
  <cp:revision>2</cp:revision>
  <cp:lastPrinted>2019-03-14T14:41:00Z</cp:lastPrinted>
  <dcterms:created xsi:type="dcterms:W3CDTF">2019-11-19T13:38:00Z</dcterms:created>
  <dcterms:modified xsi:type="dcterms:W3CDTF">2019-11-19T13:38:00Z</dcterms:modified>
</cp:coreProperties>
</file>