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6B" w:rsidRDefault="00F8342D">
      <w:pPr>
        <w:spacing w:line="200" w:lineRule="exact"/>
        <w:rPr>
          <w:sz w:val="24"/>
          <w:szCs w:val="24"/>
        </w:rPr>
      </w:pPr>
      <w:bookmarkStart w:id="0" w:name="page1"/>
      <w:bookmarkStart w:id="1" w:name="_GoBack"/>
      <w:bookmarkEnd w:id="0"/>
      <w:bookmarkEnd w:id="1"/>
      <w:r>
        <w:rPr>
          <w:noProof/>
          <w:sz w:val="24"/>
          <w:szCs w:val="24"/>
          <w:lang w:val="es-CL" w:eastAsia="es-CL"/>
        </w:rPr>
        <w:drawing>
          <wp:anchor distT="0" distB="0" distL="114300" distR="114300" simplePos="0" relativeHeight="251648000" behindDoc="1" locked="0" layoutInCell="0" allowOverlap="1">
            <wp:simplePos x="0" y="0"/>
            <wp:positionH relativeFrom="page">
              <wp:posOffset>1079500</wp:posOffset>
            </wp:positionH>
            <wp:positionV relativeFrom="page">
              <wp:posOffset>450850</wp:posOffset>
            </wp:positionV>
            <wp:extent cx="219710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197100" cy="673100"/>
                    </a:xfrm>
                    <a:prstGeom prst="rect">
                      <a:avLst/>
                    </a:prstGeom>
                    <a:noFill/>
                  </pic:spPr>
                </pic:pic>
              </a:graphicData>
            </a:graphic>
          </wp:anchor>
        </w:drawing>
      </w:r>
    </w:p>
    <w:p w:rsidR="00F7366B" w:rsidRDefault="00F7366B">
      <w:pPr>
        <w:spacing w:line="200" w:lineRule="exact"/>
        <w:rPr>
          <w:sz w:val="24"/>
          <w:szCs w:val="24"/>
        </w:rPr>
      </w:pPr>
    </w:p>
    <w:p w:rsidR="00F7366B" w:rsidRDefault="00F7366B">
      <w:pPr>
        <w:spacing w:line="200" w:lineRule="exact"/>
        <w:rPr>
          <w:sz w:val="24"/>
          <w:szCs w:val="24"/>
        </w:rPr>
      </w:pPr>
    </w:p>
    <w:p w:rsidR="00F7366B" w:rsidRDefault="00F7366B">
      <w:pPr>
        <w:spacing w:line="244" w:lineRule="exact"/>
        <w:rPr>
          <w:sz w:val="24"/>
          <w:szCs w:val="24"/>
        </w:rPr>
      </w:pPr>
    </w:p>
    <w:p w:rsidR="00F7366B" w:rsidRDefault="00F8342D">
      <w:pPr>
        <w:jc w:val="center"/>
        <w:rPr>
          <w:sz w:val="20"/>
          <w:szCs w:val="20"/>
        </w:rPr>
      </w:pPr>
      <w:r>
        <w:rPr>
          <w:rFonts w:ascii="Arial" w:eastAsia="Arial" w:hAnsi="Arial" w:cs="Arial"/>
          <w:b/>
          <w:bCs/>
        </w:rPr>
        <w:t>PROGRAMA DE ASIGNATURA</w:t>
      </w:r>
    </w:p>
    <w:p w:rsidR="00F7366B" w:rsidRDefault="00F7366B">
      <w:pPr>
        <w:spacing w:line="127" w:lineRule="exact"/>
        <w:rPr>
          <w:sz w:val="24"/>
          <w:szCs w:val="24"/>
        </w:rPr>
      </w:pPr>
    </w:p>
    <w:p w:rsidR="00F7366B" w:rsidRDefault="00F8342D">
      <w:pPr>
        <w:jc w:val="center"/>
        <w:rPr>
          <w:sz w:val="20"/>
          <w:szCs w:val="20"/>
        </w:rPr>
      </w:pPr>
      <w:r>
        <w:rPr>
          <w:rFonts w:ascii="Arial" w:eastAsia="Arial" w:hAnsi="Arial" w:cs="Arial"/>
          <w:b/>
          <w:bCs/>
        </w:rPr>
        <w:t>PSICOLOGÍA SOCIAL</w:t>
      </w:r>
    </w:p>
    <w:p w:rsidR="00F7366B" w:rsidRDefault="00F7366B">
      <w:pPr>
        <w:spacing w:line="127" w:lineRule="exact"/>
        <w:rPr>
          <w:sz w:val="24"/>
          <w:szCs w:val="24"/>
        </w:rPr>
      </w:pPr>
    </w:p>
    <w:p w:rsidR="00F7366B" w:rsidRDefault="00F8342D">
      <w:pPr>
        <w:jc w:val="center"/>
        <w:rPr>
          <w:sz w:val="20"/>
          <w:szCs w:val="20"/>
        </w:rPr>
      </w:pPr>
      <w:r>
        <w:rPr>
          <w:rFonts w:ascii="Arial" w:eastAsia="Arial" w:hAnsi="Arial" w:cs="Arial"/>
          <w:b/>
          <w:bCs/>
        </w:rPr>
        <w:t>PROF. LELYA TRONCOSO</w:t>
      </w:r>
    </w:p>
    <w:p w:rsidR="00F7366B" w:rsidRDefault="00F8342D">
      <w:pPr>
        <w:spacing w:line="20" w:lineRule="exact"/>
        <w:rPr>
          <w:sz w:val="24"/>
          <w:szCs w:val="24"/>
        </w:rPr>
      </w:pPr>
      <w:r>
        <w:rPr>
          <w:noProof/>
          <w:sz w:val="24"/>
          <w:szCs w:val="24"/>
          <w:lang w:val="es-CL" w:eastAsia="es-CL"/>
        </w:rPr>
        <w:drawing>
          <wp:anchor distT="0" distB="0" distL="114300" distR="114300" simplePos="0" relativeHeight="251649024" behindDoc="1" locked="0" layoutInCell="0" allowOverlap="1">
            <wp:simplePos x="0" y="0"/>
            <wp:positionH relativeFrom="column">
              <wp:posOffset>92710</wp:posOffset>
            </wp:positionH>
            <wp:positionV relativeFrom="paragraph">
              <wp:posOffset>316865</wp:posOffset>
            </wp:positionV>
            <wp:extent cx="5758815" cy="6479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758815" cy="6479540"/>
                    </a:xfrm>
                    <a:prstGeom prst="rect">
                      <a:avLst/>
                    </a:prstGeom>
                    <a:noFill/>
                  </pic:spPr>
                </pic:pic>
              </a:graphicData>
            </a:graphic>
          </wp:anchor>
        </w:drawing>
      </w:r>
    </w:p>
    <w:p w:rsidR="00F7366B" w:rsidRDefault="00F7366B">
      <w:pPr>
        <w:spacing w:line="200" w:lineRule="exact"/>
        <w:rPr>
          <w:sz w:val="24"/>
          <w:szCs w:val="24"/>
        </w:rPr>
      </w:pPr>
    </w:p>
    <w:p w:rsidR="00F7366B" w:rsidRDefault="00F7366B">
      <w:pPr>
        <w:spacing w:line="287" w:lineRule="exact"/>
        <w:rPr>
          <w:sz w:val="24"/>
          <w:szCs w:val="24"/>
        </w:rPr>
      </w:pPr>
    </w:p>
    <w:p w:rsidR="00F7366B" w:rsidRDefault="00F8342D">
      <w:pPr>
        <w:numPr>
          <w:ilvl w:val="0"/>
          <w:numId w:val="1"/>
        </w:numPr>
        <w:tabs>
          <w:tab w:val="left" w:pos="500"/>
        </w:tabs>
        <w:ind w:left="500" w:hanging="239"/>
        <w:rPr>
          <w:rFonts w:ascii="Calibri" w:eastAsia="Calibri" w:hAnsi="Calibri" w:cs="Calibri"/>
          <w:b/>
          <w:bCs/>
          <w:sz w:val="24"/>
          <w:szCs w:val="24"/>
        </w:rPr>
      </w:pPr>
      <w:r>
        <w:rPr>
          <w:rFonts w:ascii="Calibri" w:eastAsia="Calibri" w:hAnsi="Calibri" w:cs="Calibri"/>
          <w:b/>
          <w:bCs/>
          <w:sz w:val="24"/>
          <w:szCs w:val="24"/>
        </w:rPr>
        <w:t>Nombre de la actividad curricular: PSICOLOGÍA SOCIAL</w:t>
      </w:r>
    </w:p>
    <w:p w:rsidR="00F7366B" w:rsidRDefault="00F7366B">
      <w:pPr>
        <w:spacing w:line="157" w:lineRule="exact"/>
        <w:rPr>
          <w:rFonts w:ascii="Calibri" w:eastAsia="Calibri" w:hAnsi="Calibri" w:cs="Calibri"/>
          <w:b/>
          <w:bCs/>
          <w:sz w:val="24"/>
          <w:szCs w:val="24"/>
        </w:rPr>
      </w:pPr>
    </w:p>
    <w:p w:rsidR="00F7366B" w:rsidRDefault="00F8342D">
      <w:pPr>
        <w:numPr>
          <w:ilvl w:val="0"/>
          <w:numId w:val="1"/>
        </w:numPr>
        <w:tabs>
          <w:tab w:val="left" w:pos="500"/>
        </w:tabs>
        <w:ind w:left="500" w:hanging="239"/>
        <w:rPr>
          <w:rFonts w:ascii="Calibri" w:eastAsia="Calibri" w:hAnsi="Calibri" w:cs="Calibri"/>
          <w:b/>
          <w:bCs/>
          <w:sz w:val="24"/>
          <w:szCs w:val="24"/>
        </w:rPr>
      </w:pPr>
      <w:r>
        <w:rPr>
          <w:rFonts w:ascii="Calibri" w:eastAsia="Calibri" w:hAnsi="Calibri" w:cs="Calibri"/>
          <w:b/>
          <w:bCs/>
          <w:sz w:val="24"/>
          <w:szCs w:val="24"/>
        </w:rPr>
        <w:t xml:space="preserve">Semestre curricular/año:  </w:t>
      </w:r>
      <w:r>
        <w:rPr>
          <w:rFonts w:ascii="Calibri" w:eastAsia="Calibri" w:hAnsi="Calibri" w:cs="Calibri"/>
          <w:sz w:val="24"/>
          <w:szCs w:val="24"/>
        </w:rPr>
        <w:t>Semestre I</w:t>
      </w:r>
    </w:p>
    <w:p w:rsidR="00F7366B" w:rsidRDefault="00F7366B">
      <w:pPr>
        <w:spacing w:line="157" w:lineRule="exact"/>
        <w:rPr>
          <w:rFonts w:ascii="Calibri" w:eastAsia="Calibri" w:hAnsi="Calibri" w:cs="Calibri"/>
          <w:b/>
          <w:bCs/>
          <w:sz w:val="24"/>
          <w:szCs w:val="24"/>
        </w:rPr>
      </w:pPr>
    </w:p>
    <w:p w:rsidR="00F7366B" w:rsidRDefault="00F8342D">
      <w:pPr>
        <w:numPr>
          <w:ilvl w:val="0"/>
          <w:numId w:val="1"/>
        </w:numPr>
        <w:tabs>
          <w:tab w:val="left" w:pos="500"/>
        </w:tabs>
        <w:ind w:left="500" w:hanging="239"/>
        <w:rPr>
          <w:rFonts w:ascii="Calibri" w:eastAsia="Calibri" w:hAnsi="Calibri" w:cs="Calibri"/>
          <w:b/>
          <w:bCs/>
          <w:sz w:val="24"/>
          <w:szCs w:val="24"/>
        </w:rPr>
      </w:pPr>
      <w:r>
        <w:rPr>
          <w:rFonts w:ascii="Calibri" w:eastAsia="Calibri" w:hAnsi="Calibri" w:cs="Calibri"/>
          <w:b/>
          <w:bCs/>
          <w:sz w:val="24"/>
          <w:szCs w:val="24"/>
        </w:rPr>
        <w:t xml:space="preserve">Unidad Académica: </w:t>
      </w:r>
      <w:r>
        <w:rPr>
          <w:rFonts w:ascii="Calibri" w:eastAsia="Calibri" w:hAnsi="Calibri" w:cs="Calibri"/>
          <w:sz w:val="24"/>
          <w:szCs w:val="24"/>
        </w:rPr>
        <w:t>Trabajo Social</w:t>
      </w:r>
    </w:p>
    <w:p w:rsidR="00F7366B" w:rsidRDefault="00F7366B">
      <w:pPr>
        <w:spacing w:line="130" w:lineRule="exact"/>
        <w:rPr>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20"/>
        <w:gridCol w:w="320"/>
        <w:gridCol w:w="4480"/>
        <w:gridCol w:w="4240"/>
        <w:gridCol w:w="20"/>
      </w:tblGrid>
      <w:tr w:rsidR="00F7366B">
        <w:trPr>
          <w:trHeight w:val="300"/>
        </w:trPr>
        <w:tc>
          <w:tcPr>
            <w:tcW w:w="340" w:type="dxa"/>
            <w:gridSpan w:val="2"/>
            <w:tcBorders>
              <w:top w:val="single" w:sz="8" w:space="0" w:color="4F81BD"/>
            </w:tcBorders>
            <w:vAlign w:val="bottom"/>
          </w:tcPr>
          <w:p w:rsidR="00F7366B" w:rsidRDefault="00F8342D">
            <w:pPr>
              <w:jc w:val="right"/>
              <w:rPr>
                <w:sz w:val="20"/>
                <w:szCs w:val="20"/>
              </w:rPr>
            </w:pPr>
            <w:r>
              <w:rPr>
                <w:rFonts w:ascii="Calibri" w:eastAsia="Calibri" w:hAnsi="Calibri" w:cs="Calibri"/>
                <w:b/>
                <w:bCs/>
                <w:sz w:val="24"/>
                <w:szCs w:val="24"/>
              </w:rPr>
              <w:t>4.</w:t>
            </w:r>
          </w:p>
        </w:tc>
        <w:tc>
          <w:tcPr>
            <w:tcW w:w="4480" w:type="dxa"/>
            <w:tcBorders>
              <w:top w:val="single" w:sz="8" w:space="0" w:color="4F81BD"/>
              <w:right w:val="single" w:sz="8" w:space="0" w:color="4F81BD"/>
            </w:tcBorders>
            <w:vAlign w:val="bottom"/>
          </w:tcPr>
          <w:p w:rsidR="00F7366B" w:rsidRDefault="00F8342D">
            <w:pPr>
              <w:ind w:left="20"/>
              <w:rPr>
                <w:sz w:val="20"/>
                <w:szCs w:val="20"/>
              </w:rPr>
            </w:pPr>
            <w:r>
              <w:rPr>
                <w:rFonts w:ascii="Calibri" w:eastAsia="Calibri" w:hAnsi="Calibri" w:cs="Calibri"/>
                <w:b/>
                <w:bCs/>
                <w:sz w:val="24"/>
                <w:szCs w:val="24"/>
              </w:rPr>
              <w:t>Horas de trabajo presencial y no presencial</w:t>
            </w:r>
          </w:p>
        </w:tc>
        <w:tc>
          <w:tcPr>
            <w:tcW w:w="4260" w:type="dxa"/>
            <w:gridSpan w:val="2"/>
            <w:tcBorders>
              <w:top w:val="single" w:sz="8" w:space="0" w:color="4F81BD"/>
            </w:tcBorders>
            <w:vAlign w:val="bottom"/>
          </w:tcPr>
          <w:p w:rsidR="00F7366B" w:rsidRDefault="00F8342D">
            <w:pPr>
              <w:ind w:right="40"/>
              <w:jc w:val="center"/>
              <w:rPr>
                <w:sz w:val="20"/>
                <w:szCs w:val="20"/>
              </w:rPr>
            </w:pPr>
            <w:r>
              <w:rPr>
                <w:rFonts w:ascii="Calibri" w:eastAsia="Calibri" w:hAnsi="Calibri" w:cs="Calibri"/>
                <w:sz w:val="24"/>
                <w:szCs w:val="24"/>
              </w:rPr>
              <w:t>9 hrs. (3 presenciales + 6 no presenciales)</w:t>
            </w:r>
          </w:p>
        </w:tc>
      </w:tr>
      <w:tr w:rsidR="00F7366B">
        <w:trPr>
          <w:trHeight w:val="151"/>
        </w:trPr>
        <w:tc>
          <w:tcPr>
            <w:tcW w:w="20" w:type="dxa"/>
            <w:tcBorders>
              <w:bottom w:val="single" w:sz="8" w:space="0" w:color="4F81BD"/>
            </w:tcBorders>
            <w:vAlign w:val="bottom"/>
          </w:tcPr>
          <w:p w:rsidR="00F7366B" w:rsidRDefault="00F7366B">
            <w:pPr>
              <w:rPr>
                <w:sz w:val="13"/>
                <w:szCs w:val="13"/>
              </w:rPr>
            </w:pPr>
          </w:p>
        </w:tc>
        <w:tc>
          <w:tcPr>
            <w:tcW w:w="320" w:type="dxa"/>
            <w:tcBorders>
              <w:bottom w:val="single" w:sz="8" w:space="0" w:color="4F81BD"/>
            </w:tcBorders>
            <w:vAlign w:val="bottom"/>
          </w:tcPr>
          <w:p w:rsidR="00F7366B" w:rsidRDefault="00F7366B">
            <w:pPr>
              <w:rPr>
                <w:sz w:val="13"/>
                <w:szCs w:val="13"/>
              </w:rPr>
            </w:pPr>
          </w:p>
        </w:tc>
        <w:tc>
          <w:tcPr>
            <w:tcW w:w="4480" w:type="dxa"/>
            <w:tcBorders>
              <w:bottom w:val="single" w:sz="8" w:space="0" w:color="4F81BD"/>
              <w:right w:val="single" w:sz="8" w:space="0" w:color="4F81BD"/>
            </w:tcBorders>
            <w:vAlign w:val="bottom"/>
          </w:tcPr>
          <w:p w:rsidR="00F7366B" w:rsidRDefault="00F7366B">
            <w:pPr>
              <w:rPr>
                <w:sz w:val="13"/>
                <w:szCs w:val="13"/>
              </w:rPr>
            </w:pPr>
          </w:p>
        </w:tc>
        <w:tc>
          <w:tcPr>
            <w:tcW w:w="4240" w:type="dxa"/>
            <w:tcBorders>
              <w:bottom w:val="single" w:sz="8" w:space="0" w:color="4F81BD"/>
            </w:tcBorders>
            <w:vAlign w:val="bottom"/>
          </w:tcPr>
          <w:p w:rsidR="00F7366B" w:rsidRDefault="00F7366B">
            <w:pPr>
              <w:rPr>
                <w:sz w:val="13"/>
                <w:szCs w:val="13"/>
              </w:rPr>
            </w:pPr>
          </w:p>
        </w:tc>
        <w:tc>
          <w:tcPr>
            <w:tcW w:w="20" w:type="dxa"/>
            <w:tcBorders>
              <w:bottom w:val="single" w:sz="8" w:space="0" w:color="4F81BD"/>
            </w:tcBorders>
            <w:vAlign w:val="bottom"/>
          </w:tcPr>
          <w:p w:rsidR="00F7366B" w:rsidRDefault="00F7366B">
            <w:pPr>
              <w:rPr>
                <w:sz w:val="13"/>
                <w:szCs w:val="13"/>
              </w:rPr>
            </w:pPr>
          </w:p>
        </w:tc>
      </w:tr>
      <w:tr w:rsidR="00F7366B">
        <w:trPr>
          <w:trHeight w:val="280"/>
        </w:trPr>
        <w:tc>
          <w:tcPr>
            <w:tcW w:w="340" w:type="dxa"/>
            <w:gridSpan w:val="2"/>
            <w:vAlign w:val="bottom"/>
          </w:tcPr>
          <w:p w:rsidR="00F7366B" w:rsidRDefault="00F8342D">
            <w:pPr>
              <w:spacing w:line="280" w:lineRule="exact"/>
              <w:jc w:val="right"/>
              <w:rPr>
                <w:sz w:val="20"/>
                <w:szCs w:val="20"/>
              </w:rPr>
            </w:pPr>
            <w:r>
              <w:rPr>
                <w:rFonts w:ascii="Calibri" w:eastAsia="Calibri" w:hAnsi="Calibri" w:cs="Calibri"/>
                <w:b/>
                <w:bCs/>
                <w:sz w:val="24"/>
                <w:szCs w:val="24"/>
              </w:rPr>
              <w:t>5.</w:t>
            </w:r>
          </w:p>
        </w:tc>
        <w:tc>
          <w:tcPr>
            <w:tcW w:w="4480" w:type="dxa"/>
            <w:tcBorders>
              <w:right w:val="single" w:sz="8" w:space="0" w:color="4F81BD"/>
            </w:tcBorders>
            <w:vAlign w:val="bottom"/>
          </w:tcPr>
          <w:p w:rsidR="00F7366B" w:rsidRDefault="00F8342D">
            <w:pPr>
              <w:spacing w:line="280" w:lineRule="exact"/>
              <w:ind w:left="20"/>
              <w:rPr>
                <w:sz w:val="20"/>
                <w:szCs w:val="20"/>
              </w:rPr>
            </w:pPr>
            <w:r>
              <w:rPr>
                <w:rFonts w:ascii="Calibri" w:eastAsia="Calibri" w:hAnsi="Calibri" w:cs="Calibri"/>
                <w:b/>
                <w:bCs/>
                <w:sz w:val="24"/>
                <w:szCs w:val="24"/>
              </w:rPr>
              <w:t>Tipo de créditos</w:t>
            </w:r>
          </w:p>
        </w:tc>
        <w:tc>
          <w:tcPr>
            <w:tcW w:w="4260" w:type="dxa"/>
            <w:gridSpan w:val="2"/>
            <w:vAlign w:val="bottom"/>
          </w:tcPr>
          <w:p w:rsidR="00F7366B" w:rsidRDefault="00F8342D">
            <w:pPr>
              <w:spacing w:line="280" w:lineRule="exact"/>
              <w:ind w:right="20"/>
              <w:jc w:val="center"/>
              <w:rPr>
                <w:sz w:val="20"/>
                <w:szCs w:val="20"/>
              </w:rPr>
            </w:pPr>
            <w:r>
              <w:rPr>
                <w:rFonts w:ascii="Calibri" w:eastAsia="Calibri" w:hAnsi="Calibri" w:cs="Calibri"/>
                <w:sz w:val="24"/>
                <w:szCs w:val="24"/>
              </w:rPr>
              <w:t>SCT</w:t>
            </w:r>
          </w:p>
        </w:tc>
      </w:tr>
      <w:tr w:rsidR="00F7366B">
        <w:trPr>
          <w:trHeight w:val="150"/>
        </w:trPr>
        <w:tc>
          <w:tcPr>
            <w:tcW w:w="20" w:type="dxa"/>
            <w:tcBorders>
              <w:bottom w:val="single" w:sz="8" w:space="0" w:color="4F81BD"/>
            </w:tcBorders>
            <w:vAlign w:val="bottom"/>
          </w:tcPr>
          <w:p w:rsidR="00F7366B" w:rsidRDefault="00F7366B">
            <w:pPr>
              <w:rPr>
                <w:sz w:val="13"/>
                <w:szCs w:val="13"/>
              </w:rPr>
            </w:pPr>
          </w:p>
        </w:tc>
        <w:tc>
          <w:tcPr>
            <w:tcW w:w="320" w:type="dxa"/>
            <w:tcBorders>
              <w:bottom w:val="single" w:sz="8" w:space="0" w:color="4F81BD"/>
            </w:tcBorders>
            <w:vAlign w:val="bottom"/>
          </w:tcPr>
          <w:p w:rsidR="00F7366B" w:rsidRDefault="00F7366B">
            <w:pPr>
              <w:rPr>
                <w:sz w:val="13"/>
                <w:szCs w:val="13"/>
              </w:rPr>
            </w:pPr>
          </w:p>
        </w:tc>
        <w:tc>
          <w:tcPr>
            <w:tcW w:w="4480" w:type="dxa"/>
            <w:tcBorders>
              <w:bottom w:val="single" w:sz="8" w:space="0" w:color="4F81BD"/>
              <w:right w:val="single" w:sz="8" w:space="0" w:color="4F81BD"/>
            </w:tcBorders>
            <w:vAlign w:val="bottom"/>
          </w:tcPr>
          <w:p w:rsidR="00F7366B" w:rsidRDefault="00F7366B">
            <w:pPr>
              <w:rPr>
                <w:sz w:val="13"/>
                <w:szCs w:val="13"/>
              </w:rPr>
            </w:pPr>
          </w:p>
        </w:tc>
        <w:tc>
          <w:tcPr>
            <w:tcW w:w="4240" w:type="dxa"/>
            <w:tcBorders>
              <w:bottom w:val="single" w:sz="8" w:space="0" w:color="4F81BD"/>
            </w:tcBorders>
            <w:vAlign w:val="bottom"/>
          </w:tcPr>
          <w:p w:rsidR="00F7366B" w:rsidRDefault="00F7366B">
            <w:pPr>
              <w:rPr>
                <w:sz w:val="13"/>
                <w:szCs w:val="13"/>
              </w:rPr>
            </w:pPr>
          </w:p>
        </w:tc>
        <w:tc>
          <w:tcPr>
            <w:tcW w:w="20" w:type="dxa"/>
            <w:tcBorders>
              <w:bottom w:val="single" w:sz="8" w:space="0" w:color="4F81BD"/>
            </w:tcBorders>
            <w:vAlign w:val="bottom"/>
          </w:tcPr>
          <w:p w:rsidR="00F7366B" w:rsidRDefault="00F7366B">
            <w:pPr>
              <w:rPr>
                <w:sz w:val="13"/>
                <w:szCs w:val="13"/>
              </w:rPr>
            </w:pPr>
          </w:p>
        </w:tc>
      </w:tr>
      <w:tr w:rsidR="00F7366B">
        <w:trPr>
          <w:trHeight w:val="280"/>
        </w:trPr>
        <w:tc>
          <w:tcPr>
            <w:tcW w:w="340" w:type="dxa"/>
            <w:gridSpan w:val="2"/>
            <w:vAlign w:val="bottom"/>
          </w:tcPr>
          <w:p w:rsidR="00F7366B" w:rsidRDefault="00F8342D">
            <w:pPr>
              <w:spacing w:line="280" w:lineRule="exact"/>
              <w:jc w:val="right"/>
              <w:rPr>
                <w:sz w:val="20"/>
                <w:szCs w:val="20"/>
              </w:rPr>
            </w:pPr>
            <w:r>
              <w:rPr>
                <w:rFonts w:ascii="Calibri" w:eastAsia="Calibri" w:hAnsi="Calibri" w:cs="Calibri"/>
                <w:b/>
                <w:bCs/>
                <w:sz w:val="24"/>
                <w:szCs w:val="24"/>
              </w:rPr>
              <w:t>6.</w:t>
            </w:r>
          </w:p>
        </w:tc>
        <w:tc>
          <w:tcPr>
            <w:tcW w:w="4480" w:type="dxa"/>
            <w:tcBorders>
              <w:right w:val="single" w:sz="8" w:space="0" w:color="4F81BD"/>
            </w:tcBorders>
            <w:vAlign w:val="bottom"/>
          </w:tcPr>
          <w:p w:rsidR="00F7366B" w:rsidRDefault="00F8342D">
            <w:pPr>
              <w:spacing w:line="280" w:lineRule="exact"/>
              <w:ind w:left="20"/>
              <w:rPr>
                <w:sz w:val="20"/>
                <w:szCs w:val="20"/>
              </w:rPr>
            </w:pPr>
            <w:r>
              <w:rPr>
                <w:rFonts w:ascii="Calibri" w:eastAsia="Calibri" w:hAnsi="Calibri" w:cs="Calibri"/>
                <w:b/>
                <w:bCs/>
                <w:sz w:val="24"/>
                <w:szCs w:val="24"/>
              </w:rPr>
              <w:t>Número de créditos SCT - Chile</w:t>
            </w:r>
          </w:p>
        </w:tc>
        <w:tc>
          <w:tcPr>
            <w:tcW w:w="4260" w:type="dxa"/>
            <w:gridSpan w:val="2"/>
            <w:vAlign w:val="bottom"/>
          </w:tcPr>
          <w:p w:rsidR="00F7366B" w:rsidRDefault="00F8342D">
            <w:pPr>
              <w:spacing w:line="280" w:lineRule="exact"/>
              <w:ind w:right="40"/>
              <w:jc w:val="center"/>
              <w:rPr>
                <w:sz w:val="20"/>
                <w:szCs w:val="20"/>
              </w:rPr>
            </w:pPr>
            <w:r>
              <w:rPr>
                <w:rFonts w:ascii="Calibri" w:eastAsia="Calibri" w:hAnsi="Calibri" w:cs="Calibri"/>
                <w:sz w:val="24"/>
                <w:szCs w:val="24"/>
              </w:rPr>
              <w:t>5 SCT</w:t>
            </w:r>
          </w:p>
        </w:tc>
      </w:tr>
      <w:tr w:rsidR="00F7366B">
        <w:trPr>
          <w:trHeight w:val="150"/>
        </w:trPr>
        <w:tc>
          <w:tcPr>
            <w:tcW w:w="20" w:type="dxa"/>
            <w:tcBorders>
              <w:bottom w:val="single" w:sz="8" w:space="0" w:color="4F81BD"/>
            </w:tcBorders>
            <w:vAlign w:val="bottom"/>
          </w:tcPr>
          <w:p w:rsidR="00F7366B" w:rsidRDefault="00F7366B">
            <w:pPr>
              <w:rPr>
                <w:sz w:val="13"/>
                <w:szCs w:val="13"/>
              </w:rPr>
            </w:pPr>
          </w:p>
        </w:tc>
        <w:tc>
          <w:tcPr>
            <w:tcW w:w="320" w:type="dxa"/>
            <w:tcBorders>
              <w:bottom w:val="single" w:sz="8" w:space="0" w:color="4F81BD"/>
            </w:tcBorders>
            <w:vAlign w:val="bottom"/>
          </w:tcPr>
          <w:p w:rsidR="00F7366B" w:rsidRDefault="00F7366B">
            <w:pPr>
              <w:rPr>
                <w:sz w:val="13"/>
                <w:szCs w:val="13"/>
              </w:rPr>
            </w:pPr>
          </w:p>
        </w:tc>
        <w:tc>
          <w:tcPr>
            <w:tcW w:w="4480" w:type="dxa"/>
            <w:tcBorders>
              <w:bottom w:val="single" w:sz="8" w:space="0" w:color="4F81BD"/>
              <w:right w:val="single" w:sz="8" w:space="0" w:color="4F81BD"/>
            </w:tcBorders>
            <w:vAlign w:val="bottom"/>
          </w:tcPr>
          <w:p w:rsidR="00F7366B" w:rsidRDefault="00F7366B">
            <w:pPr>
              <w:rPr>
                <w:sz w:val="13"/>
                <w:szCs w:val="13"/>
              </w:rPr>
            </w:pPr>
          </w:p>
        </w:tc>
        <w:tc>
          <w:tcPr>
            <w:tcW w:w="4240" w:type="dxa"/>
            <w:tcBorders>
              <w:bottom w:val="single" w:sz="8" w:space="0" w:color="4F81BD"/>
            </w:tcBorders>
            <w:vAlign w:val="bottom"/>
          </w:tcPr>
          <w:p w:rsidR="00F7366B" w:rsidRDefault="00F7366B">
            <w:pPr>
              <w:rPr>
                <w:sz w:val="13"/>
                <w:szCs w:val="13"/>
              </w:rPr>
            </w:pPr>
          </w:p>
        </w:tc>
        <w:tc>
          <w:tcPr>
            <w:tcW w:w="20" w:type="dxa"/>
            <w:tcBorders>
              <w:bottom w:val="single" w:sz="8" w:space="0" w:color="4F81BD"/>
            </w:tcBorders>
            <w:vAlign w:val="bottom"/>
          </w:tcPr>
          <w:p w:rsidR="00F7366B" w:rsidRDefault="00F7366B">
            <w:pPr>
              <w:rPr>
                <w:sz w:val="13"/>
                <w:szCs w:val="13"/>
              </w:rPr>
            </w:pPr>
          </w:p>
        </w:tc>
      </w:tr>
      <w:tr w:rsidR="00F7366B">
        <w:trPr>
          <w:trHeight w:val="280"/>
        </w:trPr>
        <w:tc>
          <w:tcPr>
            <w:tcW w:w="20" w:type="dxa"/>
            <w:vAlign w:val="bottom"/>
          </w:tcPr>
          <w:p w:rsidR="00F7366B" w:rsidRDefault="00F7366B">
            <w:pPr>
              <w:rPr>
                <w:sz w:val="24"/>
                <w:szCs w:val="24"/>
              </w:rPr>
            </w:pPr>
          </w:p>
        </w:tc>
        <w:tc>
          <w:tcPr>
            <w:tcW w:w="320" w:type="dxa"/>
            <w:shd w:val="clear" w:color="auto" w:fill="DBE5F1"/>
            <w:vAlign w:val="bottom"/>
          </w:tcPr>
          <w:p w:rsidR="00F7366B" w:rsidRDefault="00F8342D">
            <w:pPr>
              <w:spacing w:line="280" w:lineRule="exact"/>
              <w:jc w:val="right"/>
              <w:rPr>
                <w:sz w:val="20"/>
                <w:szCs w:val="20"/>
              </w:rPr>
            </w:pPr>
            <w:r>
              <w:rPr>
                <w:rFonts w:ascii="Calibri" w:eastAsia="Calibri" w:hAnsi="Calibri" w:cs="Calibri"/>
                <w:b/>
                <w:bCs/>
                <w:sz w:val="24"/>
                <w:szCs w:val="24"/>
              </w:rPr>
              <w:t>7.</w:t>
            </w:r>
          </w:p>
        </w:tc>
        <w:tc>
          <w:tcPr>
            <w:tcW w:w="4480" w:type="dxa"/>
            <w:tcBorders>
              <w:right w:val="single" w:sz="8" w:space="0" w:color="DBE5F1"/>
            </w:tcBorders>
            <w:shd w:val="clear" w:color="auto" w:fill="DBE5F1"/>
            <w:vAlign w:val="bottom"/>
          </w:tcPr>
          <w:p w:rsidR="00F7366B" w:rsidRDefault="00F8342D">
            <w:pPr>
              <w:spacing w:line="280" w:lineRule="exact"/>
              <w:ind w:left="20"/>
              <w:rPr>
                <w:sz w:val="20"/>
                <w:szCs w:val="20"/>
              </w:rPr>
            </w:pPr>
            <w:r>
              <w:rPr>
                <w:rFonts w:ascii="Calibri" w:eastAsia="Calibri" w:hAnsi="Calibri" w:cs="Calibri"/>
                <w:b/>
                <w:bCs/>
                <w:sz w:val="24"/>
                <w:szCs w:val="24"/>
              </w:rPr>
              <w:t>Propósito general del curso</w:t>
            </w:r>
          </w:p>
        </w:tc>
        <w:tc>
          <w:tcPr>
            <w:tcW w:w="4240" w:type="dxa"/>
            <w:shd w:val="clear" w:color="auto" w:fill="DBE5F1"/>
            <w:vAlign w:val="bottom"/>
          </w:tcPr>
          <w:p w:rsidR="00F7366B" w:rsidRDefault="00F7366B">
            <w:pPr>
              <w:rPr>
                <w:sz w:val="24"/>
                <w:szCs w:val="24"/>
              </w:rPr>
            </w:pPr>
          </w:p>
        </w:tc>
        <w:tc>
          <w:tcPr>
            <w:tcW w:w="20" w:type="dxa"/>
            <w:vAlign w:val="bottom"/>
          </w:tcPr>
          <w:p w:rsidR="00F7366B" w:rsidRDefault="00F7366B">
            <w:pPr>
              <w:rPr>
                <w:sz w:val="24"/>
                <w:szCs w:val="24"/>
              </w:rPr>
            </w:pPr>
          </w:p>
        </w:tc>
      </w:tr>
      <w:tr w:rsidR="00F7366B">
        <w:trPr>
          <w:trHeight w:val="150"/>
        </w:trPr>
        <w:tc>
          <w:tcPr>
            <w:tcW w:w="20" w:type="dxa"/>
            <w:vAlign w:val="bottom"/>
          </w:tcPr>
          <w:p w:rsidR="00F7366B" w:rsidRDefault="00F7366B">
            <w:pPr>
              <w:rPr>
                <w:sz w:val="13"/>
                <w:szCs w:val="13"/>
              </w:rPr>
            </w:pPr>
          </w:p>
        </w:tc>
        <w:tc>
          <w:tcPr>
            <w:tcW w:w="320" w:type="dxa"/>
            <w:shd w:val="clear" w:color="auto" w:fill="DBE5F1"/>
            <w:vAlign w:val="bottom"/>
          </w:tcPr>
          <w:p w:rsidR="00F7366B" w:rsidRDefault="00F7366B">
            <w:pPr>
              <w:rPr>
                <w:sz w:val="13"/>
                <w:szCs w:val="13"/>
              </w:rPr>
            </w:pPr>
          </w:p>
        </w:tc>
        <w:tc>
          <w:tcPr>
            <w:tcW w:w="4480" w:type="dxa"/>
            <w:tcBorders>
              <w:right w:val="single" w:sz="8" w:space="0" w:color="DBE5F1"/>
            </w:tcBorders>
            <w:shd w:val="clear" w:color="auto" w:fill="DBE5F1"/>
            <w:vAlign w:val="bottom"/>
          </w:tcPr>
          <w:p w:rsidR="00F7366B" w:rsidRDefault="00F7366B">
            <w:pPr>
              <w:rPr>
                <w:sz w:val="13"/>
                <w:szCs w:val="13"/>
              </w:rPr>
            </w:pPr>
          </w:p>
        </w:tc>
        <w:tc>
          <w:tcPr>
            <w:tcW w:w="4240" w:type="dxa"/>
            <w:shd w:val="clear" w:color="auto" w:fill="DBE5F1"/>
            <w:vAlign w:val="bottom"/>
          </w:tcPr>
          <w:p w:rsidR="00F7366B" w:rsidRDefault="00F7366B">
            <w:pPr>
              <w:rPr>
                <w:sz w:val="13"/>
                <w:szCs w:val="13"/>
              </w:rPr>
            </w:pPr>
          </w:p>
        </w:tc>
        <w:tc>
          <w:tcPr>
            <w:tcW w:w="20" w:type="dxa"/>
            <w:vAlign w:val="bottom"/>
          </w:tcPr>
          <w:p w:rsidR="00F7366B" w:rsidRDefault="00F7366B">
            <w:pPr>
              <w:rPr>
                <w:sz w:val="13"/>
                <w:szCs w:val="13"/>
              </w:rPr>
            </w:pPr>
          </w:p>
        </w:tc>
      </w:tr>
    </w:tbl>
    <w:p w:rsidR="00F7366B" w:rsidRDefault="00F7366B">
      <w:pPr>
        <w:spacing w:line="302" w:lineRule="exact"/>
        <w:rPr>
          <w:sz w:val="24"/>
          <w:szCs w:val="24"/>
        </w:rPr>
      </w:pPr>
    </w:p>
    <w:p w:rsidR="00F7366B" w:rsidRDefault="00F8342D">
      <w:pPr>
        <w:spacing w:line="239" w:lineRule="auto"/>
        <w:ind w:left="260" w:right="260"/>
        <w:jc w:val="both"/>
        <w:rPr>
          <w:sz w:val="20"/>
          <w:szCs w:val="20"/>
        </w:rPr>
      </w:pPr>
      <w:r>
        <w:rPr>
          <w:rFonts w:ascii="Calibri" w:eastAsia="Calibri" w:hAnsi="Calibri" w:cs="Calibri"/>
          <w:sz w:val="24"/>
          <w:szCs w:val="24"/>
        </w:rPr>
        <w:t>Introducir a los/as estudiantes en el campo de la Psicología Social, cuya preocupación central ha sido estudiar y comprender la relación entre fenómenos psicológicos y las dimensiones sociales y culturales. Los modos de conceptualizar, relacionar y analizar las dimensiones psicológicas y sociales de la realidad opera como un elemento diferenciador de corrientes teóricas en Psicología Social. La Psicología social constituye por lo tanto un campo de conocimientos heterogéneo, complejos y tensionado, en el cual se diferencian etapas, perspectivas teóricas y disputas que van a incidir en qué se entiende por identidad, realidad y conocimiento psicosocial.</w:t>
      </w:r>
    </w:p>
    <w:p w:rsidR="00F7366B" w:rsidRDefault="00F7366B">
      <w:pPr>
        <w:spacing w:line="302" w:lineRule="exact"/>
        <w:rPr>
          <w:sz w:val="24"/>
          <w:szCs w:val="24"/>
        </w:rPr>
      </w:pPr>
    </w:p>
    <w:p w:rsidR="00F7366B" w:rsidRDefault="00F8342D">
      <w:pPr>
        <w:spacing w:line="239" w:lineRule="auto"/>
        <w:ind w:left="260" w:right="260"/>
        <w:jc w:val="both"/>
        <w:rPr>
          <w:sz w:val="20"/>
          <w:szCs w:val="20"/>
        </w:rPr>
      </w:pPr>
      <w:r>
        <w:rPr>
          <w:rFonts w:ascii="Calibri" w:eastAsia="Calibri" w:hAnsi="Calibri" w:cs="Calibri"/>
          <w:sz w:val="24"/>
          <w:szCs w:val="24"/>
        </w:rPr>
        <w:t>En este curso nos centraremos en perspectivas críticas que han sido cuestionadoras de corrientes dominantes en Psicología Social (individualistas, psicologicistas y experimentalistas), y es a partir de un dialogo crítico que los/as estudiantes se familiarizarán a su vez con algunas de estas propuestas más tradicionales y hegemónicas en Psicología Social.</w:t>
      </w:r>
    </w:p>
    <w:p w:rsidR="00F7366B" w:rsidRDefault="00F7366B">
      <w:pPr>
        <w:spacing w:line="302" w:lineRule="exact"/>
        <w:rPr>
          <w:sz w:val="24"/>
          <w:szCs w:val="24"/>
        </w:rPr>
      </w:pPr>
    </w:p>
    <w:p w:rsidR="00F7366B" w:rsidRDefault="00F8342D">
      <w:pPr>
        <w:spacing w:line="239" w:lineRule="auto"/>
        <w:ind w:left="260" w:right="260"/>
        <w:jc w:val="both"/>
        <w:rPr>
          <w:sz w:val="20"/>
          <w:szCs w:val="20"/>
        </w:rPr>
      </w:pPr>
      <w:r>
        <w:rPr>
          <w:rFonts w:ascii="Calibri" w:eastAsia="Calibri" w:hAnsi="Calibri" w:cs="Calibri"/>
          <w:sz w:val="24"/>
          <w:szCs w:val="24"/>
        </w:rPr>
        <w:t xml:space="preserve">En la </w:t>
      </w:r>
      <w:r>
        <w:rPr>
          <w:rFonts w:ascii="Calibri" w:eastAsia="Calibri" w:hAnsi="Calibri" w:cs="Calibri"/>
          <w:b/>
          <w:bCs/>
          <w:sz w:val="24"/>
          <w:szCs w:val="24"/>
        </w:rPr>
        <w:t>primera unidad</w:t>
      </w:r>
      <w:r>
        <w:rPr>
          <w:rFonts w:ascii="Calibri" w:eastAsia="Calibri" w:hAnsi="Calibri" w:cs="Calibri"/>
          <w:sz w:val="24"/>
          <w:szCs w:val="24"/>
        </w:rPr>
        <w:t xml:space="preserve"> se incorpora una mirada histórica de la Psicología Social como disciplina, en la cual se consideran las discusiones teóricas, metodológicas y políticas que permitieron el surgimiento de posiciones críticas y comprometidas en la Psicología Social posterior a la Crisis de Relevancia de los años 60 y 70. Los estudiantes deberán comprender cómo se fueron complejizando las perspectivas teóricas en psicología social, y cómo se fueron diferenciando abordajes que buscaban aportar a la mantención de un orden social establecido de abordajes críticos cuestionadores de órdenes sociales imperantes, cuyo fin ha sido explícitamente político, apelando a la necesidad de generar</w:t>
      </w:r>
    </w:p>
    <w:p w:rsidR="00F7366B" w:rsidRDefault="00F7366B">
      <w:pPr>
        <w:spacing w:line="136" w:lineRule="exact"/>
        <w:rPr>
          <w:sz w:val="24"/>
          <w:szCs w:val="24"/>
        </w:rPr>
      </w:pPr>
    </w:p>
    <w:p w:rsidR="00F7366B" w:rsidRDefault="00F8342D">
      <w:pPr>
        <w:ind w:right="260"/>
        <w:jc w:val="right"/>
        <w:rPr>
          <w:sz w:val="20"/>
          <w:szCs w:val="20"/>
        </w:rPr>
      </w:pPr>
      <w:r>
        <w:rPr>
          <w:rFonts w:ascii="Calibri" w:eastAsia="Calibri" w:hAnsi="Calibri" w:cs="Calibri"/>
        </w:rPr>
        <w:t>1</w:t>
      </w:r>
    </w:p>
    <w:p w:rsidR="00F7366B" w:rsidRDefault="00F7366B">
      <w:pPr>
        <w:sectPr w:rsidR="00F7366B">
          <w:pgSz w:w="12240" w:h="15840"/>
          <w:pgMar w:top="1440" w:right="1440" w:bottom="892" w:left="1440" w:header="0" w:footer="0" w:gutter="0"/>
          <w:cols w:space="720" w:equalWidth="0">
            <w:col w:w="9360"/>
          </w:cols>
        </w:sectPr>
      </w:pPr>
    </w:p>
    <w:p w:rsidR="00F7366B" w:rsidRDefault="00F8342D">
      <w:pPr>
        <w:spacing w:line="200" w:lineRule="exact"/>
        <w:rPr>
          <w:sz w:val="20"/>
          <w:szCs w:val="20"/>
        </w:rPr>
      </w:pPr>
      <w:bookmarkStart w:id="2" w:name="page2"/>
      <w:bookmarkEnd w:id="2"/>
      <w:r>
        <w:rPr>
          <w:noProof/>
          <w:sz w:val="20"/>
          <w:szCs w:val="20"/>
          <w:lang w:val="es-CL" w:eastAsia="es-CL"/>
        </w:rPr>
        <w:lastRenderedPageBreak/>
        <w:drawing>
          <wp:anchor distT="0" distB="0" distL="114300" distR="114300" simplePos="0" relativeHeight="251650048" behindDoc="1" locked="0" layoutInCell="0" allowOverlap="1">
            <wp:simplePos x="0" y="0"/>
            <wp:positionH relativeFrom="page">
              <wp:posOffset>1007110</wp:posOffset>
            </wp:positionH>
            <wp:positionV relativeFrom="page">
              <wp:posOffset>450850</wp:posOffset>
            </wp:positionV>
            <wp:extent cx="5758815" cy="8467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758815" cy="8467090"/>
                    </a:xfrm>
                    <a:prstGeom prst="rect">
                      <a:avLst/>
                    </a:prstGeom>
                    <a:noFill/>
                  </pic:spPr>
                </pic:pic>
              </a:graphicData>
            </a:graphic>
          </wp:anchor>
        </w:drawing>
      </w:r>
    </w:p>
    <w:p w:rsidR="00F7366B" w:rsidRDefault="00F7366B">
      <w:pPr>
        <w:spacing w:line="382"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transformaciones sociales. Una mirada histórica facilitará a su vez la comprensión de la transición de visiones representacionistas del conocimiento y la realidad social, a perspectivas que abogan por una mirada construccionista de la realidad social. Para esto se abordará el denominado giro lingüístico, además de otros precedentes teóricos importantes que enfatizan la centralidad del lenguaje en su rol constructor de realidades, relaciones y sujetos.</w:t>
      </w:r>
    </w:p>
    <w:p w:rsidR="00F7366B" w:rsidRDefault="00F7366B">
      <w:pPr>
        <w:spacing w:line="301"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 xml:space="preserve">En la </w:t>
      </w:r>
      <w:r>
        <w:rPr>
          <w:rFonts w:ascii="Calibri" w:eastAsia="Calibri" w:hAnsi="Calibri" w:cs="Calibri"/>
          <w:b/>
          <w:bCs/>
          <w:sz w:val="24"/>
          <w:szCs w:val="24"/>
        </w:rPr>
        <w:t>segunda unidad</w:t>
      </w:r>
      <w:r>
        <w:rPr>
          <w:rFonts w:ascii="Calibri" w:eastAsia="Calibri" w:hAnsi="Calibri" w:cs="Calibri"/>
          <w:sz w:val="24"/>
          <w:szCs w:val="24"/>
        </w:rPr>
        <w:t xml:space="preserve"> se abordarán algunas perspectivas teóricas críticas en Psicología Social. Desde estas perspectivas teóricas nos será posible reflexionar en torno a diferentes formas de teorizar temáticas centrales para las psicologías sociales como: la relación entre lo social y lo psicológico, los procesos identitarios y las interacciones sociales.</w:t>
      </w:r>
    </w:p>
    <w:p w:rsidR="00F7366B" w:rsidRDefault="00F7366B">
      <w:pPr>
        <w:spacing w:line="3"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El interaccionismo simbólico es un precedente importante a partir del cual los procesos mentales dejan de ser abordados como meramente psicológicos e intrapsíquicos, y pasan a ser considerados procesos sociales y culturales. A su vez pasan a ocupar un lugar teórico central las interacciones particulares que se dan entre seres humanos y los aspectos simbólicos e interpretativos de éstas.</w:t>
      </w:r>
    </w:p>
    <w:p w:rsidR="00F7366B" w:rsidRDefault="00F7366B">
      <w:pPr>
        <w:spacing w:line="7"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Las teorías socioconstruccionistas en Psicología Social son perspectivas plurales e interdisciplinarias que van a entender el conocimiento como producción sociohistórica, y cuestionarán la posibilidad de construir verdades objetivas y universales independientes de nuestros modos de acceso a estas realidades. Las relaciones sociales serán un aspecto clave en los procesos de construcción de sujetos y realidades. Los conocimientos no serán considerados producto de mentes aisladas e individuales, conceptualizándose más bien como fruto de relaciones e interdependencias.</w:t>
      </w:r>
    </w:p>
    <w:p w:rsidR="00F7366B" w:rsidRDefault="00F7366B">
      <w:pPr>
        <w:spacing w:line="9"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Compartiendo una mirada socioconstruccionista la Psicología discursiva se va a centrar en el estudio de los discursos (habla y escritura) como medios primarios de acción social. Los discursos serán considerados como orientados a la acción, situados, construidos y constructores (versiones del mundo son estabilizados a través de los discursos). La psicología discursiva aplica ideas del análisis de discurso de manera distintiva a temáticas psicológicas.</w:t>
      </w:r>
    </w:p>
    <w:p w:rsidR="00F7366B" w:rsidRDefault="00F7366B">
      <w:pPr>
        <w:spacing w:line="10"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Para cerrar esta segunda unidad nos detendremos de manera particular en los aportes foucaultianos a las psicologías sociales críticas y cómo el pensamiento de Michel Foucault contribuyó a su complejización y a la necesidad de repensar las nociones de sujeto y poder a la base de muchas teorizaciones.</w:t>
      </w:r>
    </w:p>
    <w:p w:rsidR="00F7366B" w:rsidRDefault="00F7366B">
      <w:pPr>
        <w:spacing w:line="299"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 xml:space="preserve">En la </w:t>
      </w:r>
      <w:r>
        <w:rPr>
          <w:rFonts w:ascii="Calibri" w:eastAsia="Calibri" w:hAnsi="Calibri" w:cs="Calibri"/>
          <w:b/>
          <w:bCs/>
          <w:sz w:val="24"/>
          <w:szCs w:val="24"/>
        </w:rPr>
        <w:t>tercera unidad</w:t>
      </w:r>
      <w:r>
        <w:rPr>
          <w:rFonts w:ascii="Calibri" w:eastAsia="Calibri" w:hAnsi="Calibri" w:cs="Calibri"/>
          <w:sz w:val="24"/>
          <w:szCs w:val="24"/>
        </w:rPr>
        <w:t xml:space="preserve"> se trabajará en torno a algunos Debates actuales en Psicología Social Crítica, para familiarizar a los/as estudiantes con bajadas teóricas relacionados con temáticas de interés específicas. Abordaremos las Psicologías Sociales Feministas, introduciendo las epistemologías feministas, la noción de interseccionalidad y su influencia en las investigaciones en Psicología social (conocimientos situados). También revisaremos articulaciones con las “teorías queer” que han problematizado conceptualizaciones tradicionales de género, incorporando una crítica a la</w:t>
      </w:r>
    </w:p>
    <w:p w:rsidR="00F7366B" w:rsidRDefault="00F7366B">
      <w:pPr>
        <w:spacing w:line="92" w:lineRule="exact"/>
        <w:rPr>
          <w:sz w:val="20"/>
          <w:szCs w:val="20"/>
        </w:rPr>
      </w:pPr>
    </w:p>
    <w:p w:rsidR="00F7366B" w:rsidRDefault="00F8342D">
      <w:pPr>
        <w:ind w:left="9000"/>
        <w:rPr>
          <w:sz w:val="20"/>
          <w:szCs w:val="20"/>
        </w:rPr>
      </w:pPr>
      <w:r>
        <w:rPr>
          <w:rFonts w:ascii="Calibri" w:eastAsia="Calibri" w:hAnsi="Calibri" w:cs="Calibri"/>
          <w:sz w:val="19"/>
          <w:szCs w:val="19"/>
        </w:rPr>
        <w:t>2</w:t>
      </w:r>
    </w:p>
    <w:p w:rsidR="00F7366B" w:rsidRDefault="00F7366B">
      <w:pPr>
        <w:sectPr w:rsidR="00F7366B">
          <w:pgSz w:w="12240" w:h="15840"/>
          <w:pgMar w:top="1440" w:right="1440" w:bottom="923" w:left="1440" w:header="0" w:footer="0" w:gutter="0"/>
          <w:cols w:space="720" w:equalWidth="0">
            <w:col w:w="9360"/>
          </w:cols>
        </w:sectPr>
      </w:pPr>
    </w:p>
    <w:p w:rsidR="00F7366B" w:rsidRDefault="00F8342D">
      <w:pPr>
        <w:spacing w:line="200" w:lineRule="exact"/>
        <w:rPr>
          <w:sz w:val="20"/>
          <w:szCs w:val="20"/>
        </w:rPr>
      </w:pPr>
      <w:bookmarkStart w:id="3" w:name="page3"/>
      <w:bookmarkEnd w:id="3"/>
      <w:r>
        <w:rPr>
          <w:noProof/>
          <w:sz w:val="20"/>
          <w:szCs w:val="20"/>
          <w:lang w:val="es-CL" w:eastAsia="es-CL"/>
        </w:rPr>
        <w:lastRenderedPageBreak/>
        <w:drawing>
          <wp:anchor distT="0" distB="0" distL="114300" distR="114300" simplePos="0" relativeHeight="251651072" behindDoc="1" locked="0" layoutInCell="0" allowOverlap="1">
            <wp:simplePos x="0" y="0"/>
            <wp:positionH relativeFrom="page">
              <wp:posOffset>1007110</wp:posOffset>
            </wp:positionH>
            <wp:positionV relativeFrom="page">
              <wp:posOffset>450850</wp:posOffset>
            </wp:positionV>
            <wp:extent cx="5758815" cy="8479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758815" cy="8479790"/>
                    </a:xfrm>
                    <a:prstGeom prst="rect">
                      <a:avLst/>
                    </a:prstGeom>
                    <a:noFill/>
                  </pic:spPr>
                </pic:pic>
              </a:graphicData>
            </a:graphic>
          </wp:anchor>
        </w:drawing>
      </w:r>
    </w:p>
    <w:p w:rsidR="00F7366B" w:rsidRDefault="00F7366B">
      <w:pPr>
        <w:spacing w:line="382"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heteronormatividad, que se ha traducido a su vez en teorizaciones particulares en Psicología Social. Desde perspectivas críticas en Psicología Social, tanto la memoria como los afectos han sido repensados en forma de acciones o prácticas sociales. Se introducirá a los/as estudiantes en el campo de la Psicología Social de la Memoria y su desarrollo específico en el contexto chileno actual.</w:t>
      </w:r>
    </w:p>
    <w:p w:rsidR="00F7366B" w:rsidRDefault="00F7366B">
      <w:pPr>
        <w:spacing w:line="297"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Las perspectivas analíticas seleccionadas para este curso comparten una característica central: el sostener la improductividad (o incluso la imposibilidad) de diferenciar qué aspectos de los fenómenos en estudio (identidad, vida cotidiana, memoria o emociones) serían individuales y cuáles serían sociales, contribuyendo con fundamentos sólidos a cuestionar la tradicional separación entre individuo y sociedad que da origen, entre otras cosas, a la diferencia disciplinaria entre Psicología, por una parte, y Sociología, por otra. Además, se espera que los/as estudiantes sean capaces de poner en práctica una mirada crítica de los modos en los cuales los conocimientos científicos, particularmente los psicológicos, han muchas veces beneficiado a ciertos grupos de poder e intereses particulares, siendo sus efectos dañinos para grupos más subyugados de la sociedad.</w:t>
      </w:r>
    </w:p>
    <w:p w:rsidR="00F7366B" w:rsidRDefault="00F7366B">
      <w:pPr>
        <w:spacing w:line="13"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En este marco, se espera contribuir a la formación de perspectivas críticas en los/as futuras/os trabajadores sociales entregando algunos fundamentos conceptuales y éticos para el análisis de fenómenos psicosociales (con mirada histórica y política), desde una perspectiva que dialogue con otras disciplinas y con demandas de movimientos sociales.</w:t>
      </w:r>
    </w:p>
    <w:p w:rsidR="00F7366B" w:rsidRDefault="00F8342D">
      <w:pPr>
        <w:spacing w:line="20" w:lineRule="exact"/>
        <w:rPr>
          <w:sz w:val="20"/>
          <w:szCs w:val="20"/>
        </w:rPr>
      </w:pPr>
      <w:r>
        <w:rPr>
          <w:noProof/>
          <w:sz w:val="20"/>
          <w:szCs w:val="20"/>
          <w:lang w:val="es-CL" w:eastAsia="es-CL"/>
        </w:rPr>
        <w:drawing>
          <wp:anchor distT="0" distB="0" distL="114300" distR="114300" simplePos="0" relativeHeight="251652096" behindDoc="1" locked="0" layoutInCell="0" allowOverlap="1">
            <wp:simplePos x="0" y="0"/>
            <wp:positionH relativeFrom="column">
              <wp:posOffset>102235</wp:posOffset>
            </wp:positionH>
            <wp:positionV relativeFrom="paragraph">
              <wp:posOffset>382270</wp:posOffset>
            </wp:positionV>
            <wp:extent cx="5742940"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742940" cy="187325"/>
                    </a:xfrm>
                    <a:prstGeom prst="rect">
                      <a:avLst/>
                    </a:prstGeom>
                    <a:noFill/>
                  </pic:spPr>
                </pic:pic>
              </a:graphicData>
            </a:graphic>
          </wp:anchor>
        </w:drawing>
      </w:r>
    </w:p>
    <w:p w:rsidR="00F7366B" w:rsidRDefault="00F7366B">
      <w:pPr>
        <w:spacing w:line="200" w:lineRule="exact"/>
        <w:rPr>
          <w:sz w:val="20"/>
          <w:szCs w:val="20"/>
        </w:rPr>
      </w:pPr>
    </w:p>
    <w:p w:rsidR="00F7366B" w:rsidRDefault="00F7366B">
      <w:pPr>
        <w:spacing w:line="379" w:lineRule="exact"/>
        <w:rPr>
          <w:sz w:val="20"/>
          <w:szCs w:val="20"/>
        </w:rPr>
      </w:pPr>
    </w:p>
    <w:p w:rsidR="00F7366B" w:rsidRDefault="00F8342D">
      <w:pPr>
        <w:ind w:left="260"/>
        <w:rPr>
          <w:sz w:val="20"/>
          <w:szCs w:val="20"/>
        </w:rPr>
      </w:pPr>
      <w:r>
        <w:rPr>
          <w:rFonts w:ascii="Calibri" w:eastAsia="Calibri" w:hAnsi="Calibri" w:cs="Calibri"/>
          <w:b/>
          <w:bCs/>
          <w:sz w:val="24"/>
          <w:szCs w:val="24"/>
        </w:rPr>
        <w:t>8. Competencias a las que contribuye el curso</w:t>
      </w:r>
    </w:p>
    <w:p w:rsidR="00F7366B" w:rsidRDefault="00F8342D">
      <w:pPr>
        <w:spacing w:line="20" w:lineRule="exact"/>
        <w:rPr>
          <w:sz w:val="20"/>
          <w:szCs w:val="20"/>
        </w:rPr>
      </w:pPr>
      <w:r>
        <w:rPr>
          <w:noProof/>
          <w:sz w:val="20"/>
          <w:szCs w:val="20"/>
          <w:lang w:val="es-CL" w:eastAsia="es-CL"/>
        </w:rPr>
        <mc:AlternateContent>
          <mc:Choice Requires="wps">
            <w:drawing>
              <wp:anchor distT="0" distB="0" distL="114300" distR="114300" simplePos="0" relativeHeight="251653120" behindDoc="1" locked="0" layoutInCell="0" allowOverlap="1">
                <wp:simplePos x="0" y="0"/>
                <wp:positionH relativeFrom="column">
                  <wp:posOffset>92075</wp:posOffset>
                </wp:positionH>
                <wp:positionV relativeFrom="paragraph">
                  <wp:posOffset>6350</wp:posOffset>
                </wp:positionV>
                <wp:extent cx="57588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4763"/>
                        </a:xfrm>
                        <a:prstGeom prst="line">
                          <a:avLst/>
                        </a:prstGeom>
                        <a:solidFill>
                          <a:srgbClr val="FFFFFF"/>
                        </a:solidFill>
                        <a:ln w="6667">
                          <a:solidFill>
                            <a:srgbClr val="4F81BD"/>
                          </a:solidFill>
                          <a:miter lim="800000"/>
                          <a:headEnd/>
                          <a:tailEnd/>
                        </a:ln>
                      </wps:spPr>
                      <wps:bodyPr/>
                    </wps:wsp>
                  </a:graphicData>
                </a:graphic>
              </wp:anchor>
            </w:drawing>
          </mc:Choice>
          <mc:Fallback>
            <w:pict>
              <v:line w14:anchorId="158F8AF0" id="Shap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5pt,.5pt" to="46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" o:allowincell="f" filled="t" strokecolor="#4f81bd" strokeweight=".18519mm">
                <v:stroke joinstyle="miter"/>
                <o:lock v:ext="edit" shapetype="f"/>
              </v:line>
            </w:pict>
          </mc:Fallback>
        </mc:AlternateContent>
      </w:r>
    </w:p>
    <w:p w:rsidR="00F7366B" w:rsidRDefault="00F7366B">
      <w:pPr>
        <w:spacing w:line="287" w:lineRule="exact"/>
        <w:rPr>
          <w:sz w:val="20"/>
          <w:szCs w:val="20"/>
        </w:rPr>
      </w:pPr>
    </w:p>
    <w:p w:rsidR="00F7366B" w:rsidRDefault="00F8342D">
      <w:pPr>
        <w:spacing w:line="238" w:lineRule="auto"/>
        <w:ind w:left="260" w:right="260"/>
        <w:jc w:val="both"/>
        <w:rPr>
          <w:sz w:val="20"/>
          <w:szCs w:val="20"/>
        </w:rPr>
      </w:pPr>
      <w:r>
        <w:rPr>
          <w:rFonts w:ascii="Calibri" w:eastAsia="Calibri" w:hAnsi="Calibri" w:cs="Calibri"/>
          <w:sz w:val="24"/>
          <w:szCs w:val="24"/>
        </w:rPr>
        <w:t>Al finalizar el curso, los/as estudiante estarán en condiciones de reconocer y apreciar los principales exponentes y debates de las perspectivas que se denominan a sí mismas críticas o alternativas en Psicología Social.</w:t>
      </w:r>
    </w:p>
    <w:p w:rsidR="00F7366B" w:rsidRDefault="00F7366B">
      <w:pPr>
        <w:spacing w:line="294" w:lineRule="exact"/>
        <w:rPr>
          <w:sz w:val="20"/>
          <w:szCs w:val="20"/>
        </w:rPr>
      </w:pPr>
    </w:p>
    <w:p w:rsidR="00F7366B" w:rsidRDefault="00F8342D">
      <w:pPr>
        <w:ind w:left="260"/>
        <w:rPr>
          <w:sz w:val="20"/>
          <w:szCs w:val="20"/>
        </w:rPr>
      </w:pPr>
      <w:r>
        <w:rPr>
          <w:rFonts w:ascii="Calibri" w:eastAsia="Calibri" w:hAnsi="Calibri" w:cs="Calibri"/>
          <w:sz w:val="24"/>
          <w:szCs w:val="24"/>
        </w:rPr>
        <w:t>Específicamente:</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Al finalizar el curso, el estudiante estará en condiciones de:</w:t>
      </w:r>
    </w:p>
    <w:p w:rsidR="00F7366B" w:rsidRDefault="00F7366B">
      <w:pPr>
        <w:spacing w:line="2" w:lineRule="exact"/>
        <w:rPr>
          <w:sz w:val="20"/>
          <w:szCs w:val="20"/>
        </w:rPr>
      </w:pPr>
    </w:p>
    <w:p w:rsidR="00F7366B" w:rsidRDefault="00F8342D">
      <w:pPr>
        <w:numPr>
          <w:ilvl w:val="0"/>
          <w:numId w:val="2"/>
        </w:numPr>
        <w:tabs>
          <w:tab w:val="left" w:pos="970"/>
        </w:tabs>
        <w:spacing w:line="238" w:lineRule="auto"/>
        <w:ind w:left="260" w:right="260" w:firstLine="1"/>
        <w:rPr>
          <w:rFonts w:ascii="Calibri" w:eastAsia="Calibri" w:hAnsi="Calibri" w:cs="Calibri"/>
          <w:sz w:val="24"/>
          <w:szCs w:val="24"/>
        </w:rPr>
      </w:pPr>
      <w:r>
        <w:rPr>
          <w:rFonts w:ascii="Calibri" w:eastAsia="Calibri" w:hAnsi="Calibri" w:cs="Calibri"/>
          <w:sz w:val="24"/>
          <w:szCs w:val="24"/>
        </w:rPr>
        <w:t>Reconocer las distintas concepciones de “lo psicosocial” presentes en las perspectivas alternativas en Psicología Social.</w:t>
      </w:r>
    </w:p>
    <w:p w:rsidR="00F7366B" w:rsidRDefault="00F7366B">
      <w:pPr>
        <w:spacing w:line="4" w:lineRule="exact"/>
        <w:rPr>
          <w:rFonts w:ascii="Calibri" w:eastAsia="Calibri" w:hAnsi="Calibri" w:cs="Calibri"/>
          <w:sz w:val="24"/>
          <w:szCs w:val="24"/>
        </w:rPr>
      </w:pPr>
    </w:p>
    <w:p w:rsidR="00F7366B" w:rsidRDefault="00F8342D">
      <w:pPr>
        <w:numPr>
          <w:ilvl w:val="0"/>
          <w:numId w:val="2"/>
        </w:numPr>
        <w:tabs>
          <w:tab w:val="left" w:pos="980"/>
        </w:tabs>
        <w:ind w:left="980" w:hanging="719"/>
        <w:rPr>
          <w:rFonts w:ascii="Calibri" w:eastAsia="Calibri" w:hAnsi="Calibri" w:cs="Calibri"/>
          <w:sz w:val="24"/>
          <w:szCs w:val="24"/>
        </w:rPr>
      </w:pPr>
      <w:r>
        <w:rPr>
          <w:rFonts w:ascii="Calibri" w:eastAsia="Calibri" w:hAnsi="Calibri" w:cs="Calibri"/>
          <w:sz w:val="24"/>
          <w:szCs w:val="24"/>
        </w:rPr>
        <w:t>Situar histórica y políticamente la emergencia de las psicólogas sociales críticas.</w:t>
      </w:r>
    </w:p>
    <w:p w:rsidR="00F7366B" w:rsidRDefault="00F7366B">
      <w:pPr>
        <w:spacing w:line="1" w:lineRule="exact"/>
        <w:rPr>
          <w:rFonts w:ascii="Calibri" w:eastAsia="Calibri" w:hAnsi="Calibri" w:cs="Calibri"/>
          <w:sz w:val="24"/>
          <w:szCs w:val="24"/>
        </w:rPr>
      </w:pPr>
    </w:p>
    <w:p w:rsidR="00F7366B" w:rsidRDefault="00F8342D">
      <w:pPr>
        <w:numPr>
          <w:ilvl w:val="0"/>
          <w:numId w:val="2"/>
        </w:numPr>
        <w:tabs>
          <w:tab w:val="left" w:pos="970"/>
        </w:tabs>
        <w:spacing w:line="239" w:lineRule="auto"/>
        <w:ind w:left="260" w:right="260" w:firstLine="1"/>
        <w:rPr>
          <w:rFonts w:ascii="Calibri" w:eastAsia="Calibri" w:hAnsi="Calibri" w:cs="Calibri"/>
          <w:sz w:val="24"/>
          <w:szCs w:val="24"/>
        </w:rPr>
      </w:pPr>
      <w:r>
        <w:rPr>
          <w:rFonts w:ascii="Calibri" w:eastAsia="Calibri" w:hAnsi="Calibri" w:cs="Calibri"/>
          <w:sz w:val="24"/>
          <w:szCs w:val="24"/>
        </w:rPr>
        <w:t>Analizar el comportamiento de grupos o colectivos en términos de sus dinámicas identitarias y discursivas.</w:t>
      </w:r>
    </w:p>
    <w:p w:rsidR="00F7366B" w:rsidRDefault="00F7366B">
      <w:pPr>
        <w:spacing w:line="2" w:lineRule="exact"/>
        <w:rPr>
          <w:rFonts w:ascii="Calibri" w:eastAsia="Calibri" w:hAnsi="Calibri" w:cs="Calibri"/>
          <w:sz w:val="24"/>
          <w:szCs w:val="24"/>
        </w:rPr>
      </w:pPr>
    </w:p>
    <w:p w:rsidR="00F7366B" w:rsidRDefault="00F8342D">
      <w:pPr>
        <w:numPr>
          <w:ilvl w:val="0"/>
          <w:numId w:val="2"/>
        </w:numPr>
        <w:tabs>
          <w:tab w:val="left" w:pos="970"/>
        </w:tabs>
        <w:spacing w:line="238" w:lineRule="auto"/>
        <w:ind w:left="260" w:right="260" w:firstLine="1"/>
        <w:rPr>
          <w:rFonts w:ascii="Calibri" w:eastAsia="Calibri" w:hAnsi="Calibri" w:cs="Calibri"/>
          <w:sz w:val="24"/>
          <w:szCs w:val="24"/>
        </w:rPr>
      </w:pPr>
      <w:r>
        <w:rPr>
          <w:rFonts w:ascii="Calibri" w:eastAsia="Calibri" w:hAnsi="Calibri" w:cs="Calibri"/>
          <w:sz w:val="24"/>
          <w:szCs w:val="24"/>
        </w:rPr>
        <w:t>Comprender la relevancia de la dimensión epistemológica en las perspectivas alternativas en Psicología Social.</w:t>
      </w:r>
    </w:p>
    <w:p w:rsidR="00F7366B" w:rsidRDefault="00F7366B">
      <w:pPr>
        <w:spacing w:line="8" w:lineRule="exact"/>
        <w:rPr>
          <w:rFonts w:ascii="Calibri" w:eastAsia="Calibri" w:hAnsi="Calibri" w:cs="Calibri"/>
          <w:sz w:val="24"/>
          <w:szCs w:val="24"/>
        </w:rPr>
      </w:pPr>
    </w:p>
    <w:p w:rsidR="00F7366B" w:rsidRDefault="00F8342D">
      <w:pPr>
        <w:numPr>
          <w:ilvl w:val="0"/>
          <w:numId w:val="2"/>
        </w:numPr>
        <w:tabs>
          <w:tab w:val="left" w:pos="970"/>
        </w:tabs>
        <w:spacing w:line="236" w:lineRule="auto"/>
        <w:ind w:left="260" w:right="260" w:firstLine="1"/>
        <w:rPr>
          <w:rFonts w:ascii="Calibri" w:eastAsia="Calibri" w:hAnsi="Calibri" w:cs="Calibri"/>
          <w:sz w:val="24"/>
          <w:szCs w:val="24"/>
        </w:rPr>
      </w:pPr>
      <w:r>
        <w:rPr>
          <w:rFonts w:ascii="Calibri" w:eastAsia="Calibri" w:hAnsi="Calibri" w:cs="Calibri"/>
          <w:sz w:val="24"/>
          <w:szCs w:val="24"/>
        </w:rPr>
        <w:t>Conocer diversas propuestas teóricas que se denominan críticas de la Psicología Social tradicional.</w:t>
      </w:r>
    </w:p>
    <w:p w:rsidR="00F7366B" w:rsidRDefault="00F7366B">
      <w:pPr>
        <w:spacing w:line="9" w:lineRule="exact"/>
        <w:rPr>
          <w:rFonts w:ascii="Calibri" w:eastAsia="Calibri" w:hAnsi="Calibri" w:cs="Calibri"/>
          <w:sz w:val="24"/>
          <w:szCs w:val="24"/>
        </w:rPr>
      </w:pPr>
    </w:p>
    <w:p w:rsidR="00F7366B" w:rsidRDefault="00F8342D">
      <w:pPr>
        <w:numPr>
          <w:ilvl w:val="0"/>
          <w:numId w:val="2"/>
        </w:numPr>
        <w:tabs>
          <w:tab w:val="left" w:pos="970"/>
        </w:tabs>
        <w:spacing w:line="236" w:lineRule="auto"/>
        <w:ind w:left="260" w:right="260" w:firstLine="1"/>
        <w:rPr>
          <w:rFonts w:ascii="Calibri" w:eastAsia="Calibri" w:hAnsi="Calibri" w:cs="Calibri"/>
          <w:sz w:val="24"/>
          <w:szCs w:val="24"/>
        </w:rPr>
      </w:pPr>
      <w:r>
        <w:rPr>
          <w:rFonts w:ascii="Calibri" w:eastAsia="Calibri" w:hAnsi="Calibri" w:cs="Calibri"/>
          <w:sz w:val="24"/>
          <w:szCs w:val="24"/>
        </w:rPr>
        <w:t>Conocer abordajes actuales en psicología social (propuestas feministas y queer , psicología social de la memoria).</w:t>
      </w:r>
    </w:p>
    <w:p w:rsidR="00F7366B" w:rsidRDefault="00F8342D">
      <w:pPr>
        <w:spacing w:line="20" w:lineRule="exact"/>
        <w:rPr>
          <w:sz w:val="20"/>
          <w:szCs w:val="20"/>
        </w:rPr>
      </w:pPr>
      <w:r>
        <w:rPr>
          <w:noProof/>
          <w:sz w:val="20"/>
          <w:szCs w:val="20"/>
          <w:lang w:val="es-CL" w:eastAsia="es-CL"/>
        </w:rPr>
        <mc:AlternateContent>
          <mc:Choice Requires="wps">
            <w:drawing>
              <wp:anchor distT="0" distB="0" distL="114300" distR="114300" simplePos="0" relativeHeight="251654144" behindDoc="1" locked="0" layoutInCell="0" allowOverlap="1">
                <wp:simplePos x="0" y="0"/>
                <wp:positionH relativeFrom="column">
                  <wp:posOffset>92075</wp:posOffset>
                </wp:positionH>
                <wp:positionV relativeFrom="paragraph">
                  <wp:posOffset>7620</wp:posOffset>
                </wp:positionV>
                <wp:extent cx="57588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4763"/>
                        </a:xfrm>
                        <a:prstGeom prst="line">
                          <a:avLst/>
                        </a:prstGeom>
                        <a:solidFill>
                          <a:srgbClr val="FFFFFF"/>
                        </a:solidFill>
                        <a:ln w="6350">
                          <a:solidFill>
                            <a:srgbClr val="4F81BD"/>
                          </a:solidFill>
                          <a:miter lim="800000"/>
                          <a:headEnd/>
                          <a:tailEnd/>
                        </a:ln>
                      </wps:spPr>
                      <wps:bodyPr/>
                    </wps:wsp>
                  </a:graphicData>
                </a:graphic>
              </wp:anchor>
            </w:drawing>
          </mc:Choice>
          <mc:Fallback>
            <w:pict>
              <v:line w14:anchorId="408F2218" id="Shap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5pt,.6pt" to="46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" o:allowincell="f" filled="t" strokecolor="#4f81bd" strokeweight=".5pt">
                <v:stroke joinstyle="miter"/>
                <o:lock v:ext="edit" shapetype="f"/>
              </v:line>
            </w:pict>
          </mc:Fallback>
        </mc:AlternateContent>
      </w:r>
    </w:p>
    <w:p w:rsidR="00F7366B" w:rsidRDefault="00F7366B">
      <w:pPr>
        <w:spacing w:line="53" w:lineRule="exact"/>
        <w:rPr>
          <w:sz w:val="20"/>
          <w:szCs w:val="20"/>
        </w:rPr>
      </w:pPr>
    </w:p>
    <w:p w:rsidR="00F7366B" w:rsidRDefault="00F8342D">
      <w:pPr>
        <w:ind w:left="9000"/>
        <w:rPr>
          <w:sz w:val="20"/>
          <w:szCs w:val="20"/>
        </w:rPr>
      </w:pPr>
      <w:r>
        <w:rPr>
          <w:rFonts w:ascii="Calibri" w:eastAsia="Calibri" w:hAnsi="Calibri" w:cs="Calibri"/>
          <w:sz w:val="19"/>
          <w:szCs w:val="19"/>
        </w:rPr>
        <w:t>3</w:t>
      </w:r>
    </w:p>
    <w:p w:rsidR="00F7366B" w:rsidRDefault="00F7366B">
      <w:pPr>
        <w:sectPr w:rsidR="00F7366B">
          <w:pgSz w:w="12240" w:h="15840"/>
          <w:pgMar w:top="1440" w:right="1440" w:bottom="923" w:left="1440" w:header="0" w:footer="0" w:gutter="0"/>
          <w:cols w:space="720" w:equalWidth="0">
            <w:col w:w="9360"/>
          </w:cols>
        </w:sectPr>
      </w:pPr>
    </w:p>
    <w:p w:rsidR="00F7366B" w:rsidRDefault="00F8342D">
      <w:pPr>
        <w:spacing w:line="200" w:lineRule="exact"/>
        <w:rPr>
          <w:sz w:val="20"/>
          <w:szCs w:val="20"/>
        </w:rPr>
      </w:pPr>
      <w:bookmarkStart w:id="4" w:name="page4"/>
      <w:bookmarkEnd w:id="4"/>
      <w:r>
        <w:rPr>
          <w:noProof/>
          <w:sz w:val="20"/>
          <w:szCs w:val="20"/>
          <w:lang w:val="es-CL" w:eastAsia="es-CL"/>
        </w:rPr>
        <w:lastRenderedPageBreak/>
        <w:drawing>
          <wp:anchor distT="0" distB="0" distL="114300" distR="114300" simplePos="0" relativeHeight="251655168" behindDoc="1" locked="0" layoutInCell="0" allowOverlap="1">
            <wp:simplePos x="0" y="0"/>
            <wp:positionH relativeFrom="page">
              <wp:posOffset>1007110</wp:posOffset>
            </wp:positionH>
            <wp:positionV relativeFrom="page">
              <wp:posOffset>450850</wp:posOffset>
            </wp:positionV>
            <wp:extent cx="5758815" cy="8457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5758815" cy="8457565"/>
                    </a:xfrm>
                    <a:prstGeom prst="rect">
                      <a:avLst/>
                    </a:prstGeom>
                    <a:noFill/>
                  </pic:spPr>
                </pic:pic>
              </a:graphicData>
            </a:graphic>
          </wp:anchor>
        </w:drawing>
      </w: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373" w:lineRule="exact"/>
        <w:rPr>
          <w:sz w:val="20"/>
          <w:szCs w:val="20"/>
        </w:rPr>
      </w:pPr>
    </w:p>
    <w:p w:rsidR="00F7366B" w:rsidRDefault="00F8342D">
      <w:pPr>
        <w:numPr>
          <w:ilvl w:val="0"/>
          <w:numId w:val="3"/>
        </w:numPr>
        <w:tabs>
          <w:tab w:val="left" w:pos="500"/>
        </w:tabs>
        <w:ind w:left="500" w:hanging="239"/>
        <w:rPr>
          <w:rFonts w:ascii="Calibri" w:eastAsia="Calibri" w:hAnsi="Calibri" w:cs="Calibri"/>
          <w:b/>
          <w:bCs/>
          <w:sz w:val="24"/>
          <w:szCs w:val="24"/>
        </w:rPr>
      </w:pPr>
      <w:r>
        <w:rPr>
          <w:rFonts w:ascii="Calibri" w:eastAsia="Calibri" w:hAnsi="Calibri" w:cs="Calibri"/>
          <w:b/>
          <w:bCs/>
          <w:sz w:val="24"/>
          <w:szCs w:val="24"/>
        </w:rPr>
        <w:t>Resultados de Aprendizaje Esperado</w:t>
      </w:r>
    </w:p>
    <w:p w:rsidR="00F7366B" w:rsidRDefault="00F7366B">
      <w:pPr>
        <w:spacing w:line="26" w:lineRule="exact"/>
        <w:rPr>
          <w:rFonts w:ascii="Calibri" w:eastAsia="Calibri" w:hAnsi="Calibri" w:cs="Calibri"/>
          <w:b/>
          <w:bCs/>
          <w:sz w:val="24"/>
          <w:szCs w:val="24"/>
        </w:rPr>
      </w:pPr>
    </w:p>
    <w:p w:rsidR="00F7366B" w:rsidRDefault="00F8342D">
      <w:pPr>
        <w:numPr>
          <w:ilvl w:val="1"/>
          <w:numId w:val="3"/>
        </w:numPr>
        <w:tabs>
          <w:tab w:val="left" w:pos="970"/>
        </w:tabs>
        <w:spacing w:line="238" w:lineRule="auto"/>
        <w:ind w:left="980" w:right="260" w:hanging="359"/>
        <w:rPr>
          <w:rFonts w:ascii="Arial" w:eastAsia="Arial" w:hAnsi="Arial" w:cs="Arial"/>
          <w:sz w:val="24"/>
          <w:szCs w:val="24"/>
        </w:rPr>
      </w:pPr>
      <w:r>
        <w:rPr>
          <w:rFonts w:ascii="Calibri" w:eastAsia="Calibri" w:hAnsi="Calibri" w:cs="Calibri"/>
          <w:sz w:val="24"/>
          <w:szCs w:val="24"/>
        </w:rPr>
        <w:t>Conoce y comprende una mirada global de la Psicología social como disciplina, reconociendo sus diferentes orientaciones teóricas.</w:t>
      </w:r>
    </w:p>
    <w:p w:rsidR="00F7366B" w:rsidRDefault="00F7366B">
      <w:pPr>
        <w:spacing w:line="14" w:lineRule="exact"/>
        <w:rPr>
          <w:rFonts w:ascii="Arial" w:eastAsia="Arial" w:hAnsi="Arial" w:cs="Arial"/>
          <w:sz w:val="24"/>
          <w:szCs w:val="24"/>
        </w:rPr>
      </w:pPr>
    </w:p>
    <w:p w:rsidR="00F7366B" w:rsidRDefault="00F8342D">
      <w:pPr>
        <w:numPr>
          <w:ilvl w:val="1"/>
          <w:numId w:val="3"/>
        </w:numPr>
        <w:tabs>
          <w:tab w:val="left" w:pos="980"/>
        </w:tabs>
        <w:ind w:left="980" w:hanging="359"/>
        <w:rPr>
          <w:rFonts w:ascii="Arial" w:eastAsia="Arial" w:hAnsi="Arial" w:cs="Arial"/>
          <w:sz w:val="24"/>
          <w:szCs w:val="24"/>
        </w:rPr>
      </w:pPr>
      <w:r>
        <w:rPr>
          <w:rFonts w:ascii="Calibri" w:eastAsia="Calibri" w:hAnsi="Calibri" w:cs="Calibri"/>
          <w:sz w:val="24"/>
          <w:szCs w:val="24"/>
        </w:rPr>
        <w:t>Comprende desde una mirada histórica la Psicología social</w:t>
      </w:r>
    </w:p>
    <w:p w:rsidR="00F7366B" w:rsidRDefault="00F7366B">
      <w:pPr>
        <w:spacing w:line="17" w:lineRule="exact"/>
        <w:rPr>
          <w:rFonts w:ascii="Arial" w:eastAsia="Arial" w:hAnsi="Arial" w:cs="Arial"/>
          <w:sz w:val="24"/>
          <w:szCs w:val="24"/>
        </w:rPr>
      </w:pPr>
    </w:p>
    <w:p w:rsidR="00F7366B" w:rsidRDefault="00F8342D">
      <w:pPr>
        <w:numPr>
          <w:ilvl w:val="1"/>
          <w:numId w:val="3"/>
        </w:numPr>
        <w:tabs>
          <w:tab w:val="left" w:pos="970"/>
        </w:tabs>
        <w:spacing w:line="236" w:lineRule="auto"/>
        <w:ind w:left="980" w:right="260" w:hanging="359"/>
        <w:rPr>
          <w:rFonts w:ascii="Arial" w:eastAsia="Arial" w:hAnsi="Arial" w:cs="Arial"/>
          <w:sz w:val="24"/>
          <w:szCs w:val="24"/>
        </w:rPr>
      </w:pPr>
      <w:r>
        <w:rPr>
          <w:rFonts w:ascii="Calibri" w:eastAsia="Calibri" w:hAnsi="Calibri" w:cs="Calibri"/>
          <w:sz w:val="24"/>
          <w:szCs w:val="24"/>
        </w:rPr>
        <w:t>Comprende procesos psicológicos como inmanentemente sociales, culturales e históricos.</w:t>
      </w:r>
    </w:p>
    <w:p w:rsidR="00F7366B" w:rsidRDefault="00F7366B">
      <w:pPr>
        <w:spacing w:line="18" w:lineRule="exact"/>
        <w:rPr>
          <w:rFonts w:ascii="Arial" w:eastAsia="Arial" w:hAnsi="Arial" w:cs="Arial"/>
          <w:sz w:val="24"/>
          <w:szCs w:val="24"/>
        </w:rPr>
      </w:pPr>
    </w:p>
    <w:p w:rsidR="00F7366B" w:rsidRDefault="00F8342D">
      <w:pPr>
        <w:numPr>
          <w:ilvl w:val="1"/>
          <w:numId w:val="3"/>
        </w:numPr>
        <w:tabs>
          <w:tab w:val="left" w:pos="970"/>
        </w:tabs>
        <w:spacing w:line="238" w:lineRule="auto"/>
        <w:ind w:left="980" w:right="260" w:hanging="359"/>
        <w:rPr>
          <w:rFonts w:ascii="Arial" w:eastAsia="Arial" w:hAnsi="Arial" w:cs="Arial"/>
          <w:sz w:val="24"/>
          <w:szCs w:val="24"/>
        </w:rPr>
      </w:pPr>
      <w:r>
        <w:rPr>
          <w:rFonts w:ascii="Calibri" w:eastAsia="Calibri" w:hAnsi="Calibri" w:cs="Calibri"/>
          <w:sz w:val="24"/>
          <w:szCs w:val="24"/>
        </w:rPr>
        <w:t>Mirada crítica de realidad social como fenómeno complejo en el cual las dimensiones individuales y sociales son inseparables.</w:t>
      </w:r>
    </w:p>
    <w:p w:rsidR="00F7366B" w:rsidRDefault="00F7366B">
      <w:pPr>
        <w:spacing w:line="14" w:lineRule="exact"/>
        <w:rPr>
          <w:rFonts w:ascii="Arial" w:eastAsia="Arial" w:hAnsi="Arial" w:cs="Arial"/>
          <w:sz w:val="24"/>
          <w:szCs w:val="24"/>
        </w:rPr>
      </w:pPr>
    </w:p>
    <w:p w:rsidR="00F7366B" w:rsidRDefault="00F8342D">
      <w:pPr>
        <w:numPr>
          <w:ilvl w:val="1"/>
          <w:numId w:val="3"/>
        </w:numPr>
        <w:tabs>
          <w:tab w:val="left" w:pos="980"/>
        </w:tabs>
        <w:ind w:left="980" w:hanging="359"/>
        <w:rPr>
          <w:rFonts w:ascii="Arial" w:eastAsia="Arial" w:hAnsi="Arial" w:cs="Arial"/>
          <w:sz w:val="24"/>
          <w:szCs w:val="24"/>
        </w:rPr>
      </w:pPr>
      <w:r>
        <w:rPr>
          <w:rFonts w:ascii="Calibri" w:eastAsia="Calibri" w:hAnsi="Calibri" w:cs="Calibri"/>
          <w:sz w:val="24"/>
          <w:szCs w:val="24"/>
        </w:rPr>
        <w:t>Comprender la identidad como proceso psicosocial</w:t>
      </w:r>
    </w:p>
    <w:p w:rsidR="00F7366B" w:rsidRDefault="00F7366B">
      <w:pPr>
        <w:spacing w:line="11" w:lineRule="exact"/>
        <w:rPr>
          <w:rFonts w:ascii="Arial" w:eastAsia="Arial" w:hAnsi="Arial" w:cs="Arial"/>
          <w:sz w:val="24"/>
          <w:szCs w:val="24"/>
        </w:rPr>
      </w:pPr>
    </w:p>
    <w:p w:rsidR="00F7366B" w:rsidRDefault="00F8342D">
      <w:pPr>
        <w:numPr>
          <w:ilvl w:val="1"/>
          <w:numId w:val="3"/>
        </w:numPr>
        <w:tabs>
          <w:tab w:val="left" w:pos="980"/>
        </w:tabs>
        <w:ind w:left="980" w:hanging="359"/>
        <w:rPr>
          <w:rFonts w:ascii="Arial" w:eastAsia="Arial" w:hAnsi="Arial" w:cs="Arial"/>
          <w:sz w:val="24"/>
          <w:szCs w:val="24"/>
        </w:rPr>
      </w:pPr>
      <w:r>
        <w:rPr>
          <w:rFonts w:ascii="Calibri" w:eastAsia="Calibri" w:hAnsi="Calibri" w:cs="Calibri"/>
          <w:sz w:val="24"/>
          <w:szCs w:val="24"/>
        </w:rPr>
        <w:t>Comprender la centralidad de lo relacional en la construcción de la realidad social</w:t>
      </w:r>
    </w:p>
    <w:p w:rsidR="00F7366B" w:rsidRDefault="00F7366B">
      <w:pPr>
        <w:spacing w:line="22" w:lineRule="exact"/>
        <w:rPr>
          <w:rFonts w:ascii="Arial" w:eastAsia="Arial" w:hAnsi="Arial" w:cs="Arial"/>
          <w:sz w:val="24"/>
          <w:szCs w:val="24"/>
        </w:rPr>
      </w:pPr>
    </w:p>
    <w:p w:rsidR="00F7366B" w:rsidRDefault="00F8342D">
      <w:pPr>
        <w:numPr>
          <w:ilvl w:val="1"/>
          <w:numId w:val="3"/>
        </w:numPr>
        <w:tabs>
          <w:tab w:val="left" w:pos="970"/>
        </w:tabs>
        <w:spacing w:line="236" w:lineRule="auto"/>
        <w:ind w:left="980" w:right="260" w:hanging="359"/>
        <w:rPr>
          <w:rFonts w:ascii="Arial" w:eastAsia="Arial" w:hAnsi="Arial" w:cs="Arial"/>
          <w:sz w:val="24"/>
          <w:szCs w:val="24"/>
        </w:rPr>
      </w:pPr>
      <w:r>
        <w:rPr>
          <w:rFonts w:ascii="Calibri" w:eastAsia="Calibri" w:hAnsi="Calibri" w:cs="Calibri"/>
          <w:sz w:val="24"/>
          <w:szCs w:val="24"/>
        </w:rPr>
        <w:t>Comprende la influencia de las perspectivas feministas en las ciencias sociales y la psicología social en particular.</w:t>
      </w:r>
    </w:p>
    <w:p w:rsidR="00F7366B" w:rsidRDefault="00F7366B">
      <w:pPr>
        <w:spacing w:line="304" w:lineRule="exact"/>
        <w:rPr>
          <w:rFonts w:ascii="Arial" w:eastAsia="Arial" w:hAnsi="Arial" w:cs="Arial"/>
          <w:sz w:val="24"/>
          <w:szCs w:val="24"/>
        </w:rPr>
      </w:pPr>
    </w:p>
    <w:p w:rsidR="00F7366B" w:rsidRDefault="00F8342D">
      <w:pPr>
        <w:numPr>
          <w:ilvl w:val="0"/>
          <w:numId w:val="3"/>
        </w:numPr>
        <w:tabs>
          <w:tab w:val="left" w:pos="620"/>
        </w:tabs>
        <w:ind w:left="620" w:hanging="359"/>
        <w:rPr>
          <w:rFonts w:ascii="Calibri" w:eastAsia="Calibri" w:hAnsi="Calibri" w:cs="Calibri"/>
          <w:b/>
          <w:bCs/>
          <w:sz w:val="24"/>
          <w:szCs w:val="24"/>
        </w:rPr>
      </w:pPr>
      <w:r>
        <w:rPr>
          <w:rFonts w:ascii="Calibri" w:eastAsia="Calibri" w:hAnsi="Calibri" w:cs="Calibri"/>
          <w:b/>
          <w:bCs/>
          <w:sz w:val="24"/>
          <w:szCs w:val="24"/>
        </w:rPr>
        <w:t>Contenidos de la Asignatura</w:t>
      </w:r>
    </w:p>
    <w:p w:rsidR="00F7366B" w:rsidRDefault="00F8342D">
      <w:pPr>
        <w:spacing w:line="20" w:lineRule="exact"/>
        <w:rPr>
          <w:sz w:val="20"/>
          <w:szCs w:val="20"/>
        </w:rPr>
      </w:pPr>
      <w:r>
        <w:rPr>
          <w:noProof/>
          <w:sz w:val="20"/>
          <w:szCs w:val="20"/>
          <w:lang w:val="es-CL" w:eastAsia="es-CL"/>
        </w:rPr>
        <w:drawing>
          <wp:anchor distT="0" distB="0" distL="114300" distR="114300" simplePos="0" relativeHeight="251656192" behindDoc="1" locked="0" layoutInCell="0" allowOverlap="1">
            <wp:simplePos x="0" y="0"/>
            <wp:positionH relativeFrom="column">
              <wp:posOffset>102235</wp:posOffset>
            </wp:positionH>
            <wp:positionV relativeFrom="paragraph">
              <wp:posOffset>-180340</wp:posOffset>
            </wp:positionV>
            <wp:extent cx="5742940" cy="184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5742940" cy="184150"/>
                    </a:xfrm>
                    <a:prstGeom prst="rect">
                      <a:avLst/>
                    </a:prstGeom>
                    <a:noFill/>
                  </pic:spPr>
                </pic:pic>
              </a:graphicData>
            </a:graphic>
          </wp:anchor>
        </w:drawing>
      </w:r>
    </w:p>
    <w:p w:rsidR="00F7366B" w:rsidRDefault="00F7366B">
      <w:pPr>
        <w:spacing w:line="200" w:lineRule="exact"/>
        <w:rPr>
          <w:sz w:val="20"/>
          <w:szCs w:val="20"/>
        </w:rPr>
      </w:pPr>
    </w:p>
    <w:p w:rsidR="00F7366B" w:rsidRDefault="00F7366B">
      <w:pPr>
        <w:spacing w:line="392" w:lineRule="exact"/>
        <w:rPr>
          <w:sz w:val="20"/>
          <w:szCs w:val="20"/>
        </w:rPr>
      </w:pPr>
    </w:p>
    <w:p w:rsidR="00F7366B" w:rsidRDefault="00F8342D">
      <w:pPr>
        <w:numPr>
          <w:ilvl w:val="0"/>
          <w:numId w:val="4"/>
        </w:numPr>
        <w:tabs>
          <w:tab w:val="left" w:pos="980"/>
        </w:tabs>
        <w:ind w:left="980" w:hanging="359"/>
        <w:rPr>
          <w:rFonts w:ascii="Arial" w:eastAsia="Arial" w:hAnsi="Arial" w:cs="Arial"/>
          <w:sz w:val="24"/>
          <w:szCs w:val="24"/>
        </w:rPr>
      </w:pPr>
      <w:r>
        <w:rPr>
          <w:rFonts w:ascii="Calibri" w:eastAsia="Calibri" w:hAnsi="Calibri" w:cs="Calibri"/>
          <w:sz w:val="24"/>
          <w:szCs w:val="24"/>
        </w:rPr>
        <w:t>Historia la Psicología Social</w:t>
      </w:r>
    </w:p>
    <w:p w:rsidR="00F7366B" w:rsidRDefault="00F7366B">
      <w:pPr>
        <w:spacing w:line="12" w:lineRule="exact"/>
        <w:rPr>
          <w:rFonts w:ascii="Arial" w:eastAsia="Arial" w:hAnsi="Arial" w:cs="Arial"/>
          <w:sz w:val="24"/>
          <w:szCs w:val="24"/>
        </w:rPr>
      </w:pPr>
    </w:p>
    <w:p w:rsidR="00F7366B" w:rsidRDefault="00F8342D">
      <w:pPr>
        <w:numPr>
          <w:ilvl w:val="0"/>
          <w:numId w:val="4"/>
        </w:numPr>
        <w:tabs>
          <w:tab w:val="left" w:pos="980"/>
        </w:tabs>
        <w:ind w:left="980" w:hanging="359"/>
        <w:rPr>
          <w:rFonts w:ascii="Arial" w:eastAsia="Arial" w:hAnsi="Arial" w:cs="Arial"/>
          <w:sz w:val="24"/>
          <w:szCs w:val="24"/>
        </w:rPr>
      </w:pPr>
      <w:r>
        <w:rPr>
          <w:rFonts w:ascii="Calibri" w:eastAsia="Calibri" w:hAnsi="Calibri" w:cs="Calibri"/>
          <w:sz w:val="24"/>
          <w:szCs w:val="24"/>
        </w:rPr>
        <w:t>Crisis de la Psicología Social</w:t>
      </w:r>
    </w:p>
    <w:p w:rsidR="00F7366B" w:rsidRDefault="00F7366B">
      <w:pPr>
        <w:spacing w:line="12" w:lineRule="exact"/>
        <w:rPr>
          <w:rFonts w:ascii="Arial" w:eastAsia="Arial" w:hAnsi="Arial" w:cs="Arial"/>
          <w:sz w:val="24"/>
          <w:szCs w:val="24"/>
        </w:rPr>
      </w:pPr>
    </w:p>
    <w:p w:rsidR="00F7366B" w:rsidRDefault="00F8342D">
      <w:pPr>
        <w:numPr>
          <w:ilvl w:val="0"/>
          <w:numId w:val="4"/>
        </w:numPr>
        <w:tabs>
          <w:tab w:val="left" w:pos="980"/>
        </w:tabs>
        <w:ind w:left="980" w:hanging="359"/>
        <w:rPr>
          <w:rFonts w:ascii="Arial" w:eastAsia="Arial" w:hAnsi="Arial" w:cs="Arial"/>
          <w:sz w:val="24"/>
          <w:szCs w:val="24"/>
        </w:rPr>
      </w:pPr>
      <w:r>
        <w:rPr>
          <w:rFonts w:ascii="Calibri" w:eastAsia="Calibri" w:hAnsi="Calibri" w:cs="Calibri"/>
          <w:sz w:val="24"/>
          <w:szCs w:val="24"/>
        </w:rPr>
        <w:t>El giro lingüístico</w:t>
      </w:r>
    </w:p>
    <w:p w:rsidR="00F7366B" w:rsidRDefault="00F7366B">
      <w:pPr>
        <w:spacing w:line="293" w:lineRule="exact"/>
        <w:rPr>
          <w:sz w:val="20"/>
          <w:szCs w:val="20"/>
        </w:rPr>
      </w:pPr>
    </w:p>
    <w:p w:rsidR="00F7366B" w:rsidRDefault="00F8342D">
      <w:pPr>
        <w:ind w:left="260"/>
        <w:rPr>
          <w:sz w:val="20"/>
          <w:szCs w:val="20"/>
        </w:rPr>
      </w:pPr>
      <w:r>
        <w:rPr>
          <w:rFonts w:ascii="Calibri" w:eastAsia="Calibri" w:hAnsi="Calibri" w:cs="Calibri"/>
          <w:b/>
          <w:bCs/>
          <w:sz w:val="24"/>
          <w:szCs w:val="24"/>
        </w:rPr>
        <w:t>Unidad 2: Perspectivas teóricas críticas en Psicología Social</w:t>
      </w:r>
    </w:p>
    <w:p w:rsidR="00F7366B" w:rsidRDefault="00F7366B">
      <w:pPr>
        <w:spacing w:line="12" w:lineRule="exact"/>
        <w:rPr>
          <w:sz w:val="20"/>
          <w:szCs w:val="20"/>
        </w:rPr>
      </w:pPr>
    </w:p>
    <w:p w:rsidR="00F7366B" w:rsidRDefault="00F8342D">
      <w:pPr>
        <w:numPr>
          <w:ilvl w:val="0"/>
          <w:numId w:val="5"/>
        </w:numPr>
        <w:tabs>
          <w:tab w:val="left" w:pos="980"/>
        </w:tabs>
        <w:ind w:left="980" w:hanging="359"/>
        <w:rPr>
          <w:rFonts w:ascii="Arial" w:eastAsia="Arial" w:hAnsi="Arial" w:cs="Arial"/>
          <w:sz w:val="24"/>
          <w:szCs w:val="24"/>
        </w:rPr>
      </w:pPr>
      <w:r>
        <w:rPr>
          <w:rFonts w:ascii="Calibri" w:eastAsia="Calibri" w:hAnsi="Calibri" w:cs="Calibri"/>
          <w:sz w:val="24"/>
          <w:szCs w:val="24"/>
        </w:rPr>
        <w:t>Introducción a Debates y diferentes orientaciones teóricas en Psicología Social</w:t>
      </w:r>
    </w:p>
    <w:p w:rsidR="00F7366B" w:rsidRDefault="00F7366B">
      <w:pPr>
        <w:spacing w:line="12" w:lineRule="exact"/>
        <w:rPr>
          <w:rFonts w:ascii="Arial" w:eastAsia="Arial" w:hAnsi="Arial" w:cs="Arial"/>
          <w:sz w:val="24"/>
          <w:szCs w:val="24"/>
        </w:rPr>
      </w:pPr>
    </w:p>
    <w:p w:rsidR="00F7366B" w:rsidRDefault="00F8342D">
      <w:pPr>
        <w:numPr>
          <w:ilvl w:val="0"/>
          <w:numId w:val="5"/>
        </w:numPr>
        <w:tabs>
          <w:tab w:val="left" w:pos="980"/>
        </w:tabs>
        <w:ind w:left="980" w:hanging="359"/>
        <w:rPr>
          <w:rFonts w:ascii="Arial" w:eastAsia="Arial" w:hAnsi="Arial" w:cs="Arial"/>
          <w:sz w:val="24"/>
          <w:szCs w:val="24"/>
        </w:rPr>
      </w:pPr>
      <w:r>
        <w:rPr>
          <w:rFonts w:ascii="Calibri" w:eastAsia="Calibri" w:hAnsi="Calibri" w:cs="Calibri"/>
          <w:sz w:val="24"/>
          <w:szCs w:val="24"/>
        </w:rPr>
        <w:t>Interaccionismo simbólico</w:t>
      </w:r>
    </w:p>
    <w:p w:rsidR="00F7366B" w:rsidRDefault="00F7366B">
      <w:pPr>
        <w:spacing w:line="17" w:lineRule="exact"/>
        <w:rPr>
          <w:rFonts w:ascii="Arial" w:eastAsia="Arial" w:hAnsi="Arial" w:cs="Arial"/>
          <w:sz w:val="24"/>
          <w:szCs w:val="24"/>
        </w:rPr>
      </w:pPr>
    </w:p>
    <w:p w:rsidR="00F7366B" w:rsidRDefault="00F8342D">
      <w:pPr>
        <w:numPr>
          <w:ilvl w:val="0"/>
          <w:numId w:val="5"/>
        </w:numPr>
        <w:tabs>
          <w:tab w:val="left" w:pos="980"/>
        </w:tabs>
        <w:ind w:left="980" w:hanging="359"/>
        <w:rPr>
          <w:rFonts w:ascii="Arial" w:eastAsia="Arial" w:hAnsi="Arial" w:cs="Arial"/>
          <w:sz w:val="24"/>
          <w:szCs w:val="24"/>
        </w:rPr>
      </w:pPr>
      <w:r>
        <w:rPr>
          <w:rFonts w:ascii="Calibri" w:eastAsia="Calibri" w:hAnsi="Calibri" w:cs="Calibri"/>
          <w:sz w:val="24"/>
          <w:szCs w:val="24"/>
        </w:rPr>
        <w:t>Construccionismo social</w:t>
      </w:r>
    </w:p>
    <w:p w:rsidR="00F7366B" w:rsidRDefault="00F7366B">
      <w:pPr>
        <w:spacing w:line="12" w:lineRule="exact"/>
        <w:rPr>
          <w:rFonts w:ascii="Arial" w:eastAsia="Arial" w:hAnsi="Arial" w:cs="Arial"/>
          <w:sz w:val="24"/>
          <w:szCs w:val="24"/>
        </w:rPr>
      </w:pPr>
    </w:p>
    <w:p w:rsidR="00F7366B" w:rsidRDefault="00F8342D">
      <w:pPr>
        <w:numPr>
          <w:ilvl w:val="0"/>
          <w:numId w:val="5"/>
        </w:numPr>
        <w:tabs>
          <w:tab w:val="left" w:pos="980"/>
        </w:tabs>
        <w:ind w:left="980" w:hanging="359"/>
        <w:rPr>
          <w:rFonts w:ascii="Arial" w:eastAsia="Arial" w:hAnsi="Arial" w:cs="Arial"/>
          <w:sz w:val="24"/>
          <w:szCs w:val="24"/>
        </w:rPr>
      </w:pPr>
      <w:r>
        <w:rPr>
          <w:rFonts w:ascii="Calibri" w:eastAsia="Calibri" w:hAnsi="Calibri" w:cs="Calibri"/>
          <w:sz w:val="24"/>
          <w:szCs w:val="24"/>
        </w:rPr>
        <w:t>Psicologia crítica y discursiva</w:t>
      </w:r>
    </w:p>
    <w:p w:rsidR="00F7366B" w:rsidRDefault="00F7366B">
      <w:pPr>
        <w:spacing w:line="12" w:lineRule="exact"/>
        <w:rPr>
          <w:rFonts w:ascii="Arial" w:eastAsia="Arial" w:hAnsi="Arial" w:cs="Arial"/>
          <w:sz w:val="24"/>
          <w:szCs w:val="24"/>
        </w:rPr>
      </w:pPr>
    </w:p>
    <w:p w:rsidR="00F7366B" w:rsidRDefault="00F8342D">
      <w:pPr>
        <w:numPr>
          <w:ilvl w:val="0"/>
          <w:numId w:val="5"/>
        </w:numPr>
        <w:tabs>
          <w:tab w:val="left" w:pos="980"/>
        </w:tabs>
        <w:ind w:left="980" w:hanging="359"/>
        <w:rPr>
          <w:rFonts w:ascii="Arial" w:eastAsia="Arial" w:hAnsi="Arial" w:cs="Arial"/>
          <w:sz w:val="24"/>
          <w:szCs w:val="24"/>
        </w:rPr>
      </w:pPr>
      <w:r>
        <w:rPr>
          <w:rFonts w:ascii="Calibri" w:eastAsia="Calibri" w:hAnsi="Calibri" w:cs="Calibri"/>
          <w:sz w:val="24"/>
          <w:szCs w:val="24"/>
        </w:rPr>
        <w:t>Psicologías sociales críticas: aportes foucaultianos</w:t>
      </w:r>
    </w:p>
    <w:p w:rsidR="00F7366B" w:rsidRDefault="00F7366B">
      <w:pPr>
        <w:spacing w:line="292" w:lineRule="exact"/>
        <w:rPr>
          <w:sz w:val="20"/>
          <w:szCs w:val="20"/>
        </w:rPr>
      </w:pPr>
    </w:p>
    <w:p w:rsidR="00F7366B" w:rsidRDefault="00F8342D">
      <w:pPr>
        <w:ind w:left="260"/>
        <w:rPr>
          <w:sz w:val="20"/>
          <w:szCs w:val="20"/>
        </w:rPr>
      </w:pPr>
      <w:r>
        <w:rPr>
          <w:rFonts w:ascii="Calibri" w:eastAsia="Calibri" w:hAnsi="Calibri" w:cs="Calibri"/>
          <w:b/>
          <w:bCs/>
          <w:sz w:val="24"/>
          <w:szCs w:val="24"/>
        </w:rPr>
        <w:t>Unidad 3: Debates actuales en las Psicologías Sociales Críticas</w:t>
      </w:r>
    </w:p>
    <w:p w:rsidR="00F7366B" w:rsidRDefault="00F7366B">
      <w:pPr>
        <w:spacing w:line="12" w:lineRule="exact"/>
        <w:rPr>
          <w:sz w:val="20"/>
          <w:szCs w:val="20"/>
        </w:rPr>
      </w:pPr>
    </w:p>
    <w:p w:rsidR="00F7366B" w:rsidRDefault="00F8342D">
      <w:pPr>
        <w:numPr>
          <w:ilvl w:val="1"/>
          <w:numId w:val="6"/>
        </w:numPr>
        <w:tabs>
          <w:tab w:val="left" w:pos="980"/>
        </w:tabs>
        <w:ind w:left="980" w:hanging="359"/>
        <w:rPr>
          <w:rFonts w:ascii="Arial" w:eastAsia="Arial" w:hAnsi="Arial" w:cs="Arial"/>
          <w:sz w:val="24"/>
          <w:szCs w:val="24"/>
        </w:rPr>
      </w:pPr>
      <w:r>
        <w:rPr>
          <w:rFonts w:ascii="Calibri" w:eastAsia="Calibri" w:hAnsi="Calibri" w:cs="Calibri"/>
          <w:sz w:val="24"/>
          <w:szCs w:val="24"/>
        </w:rPr>
        <w:t>Psicología social feminista: conocimientos situados</w:t>
      </w:r>
    </w:p>
    <w:p w:rsidR="00F7366B" w:rsidRDefault="00F7366B">
      <w:pPr>
        <w:spacing w:line="12" w:lineRule="exact"/>
        <w:rPr>
          <w:rFonts w:ascii="Arial" w:eastAsia="Arial" w:hAnsi="Arial" w:cs="Arial"/>
          <w:sz w:val="24"/>
          <w:szCs w:val="24"/>
        </w:rPr>
      </w:pPr>
    </w:p>
    <w:p w:rsidR="00F7366B" w:rsidRDefault="00F8342D">
      <w:pPr>
        <w:numPr>
          <w:ilvl w:val="1"/>
          <w:numId w:val="6"/>
        </w:numPr>
        <w:tabs>
          <w:tab w:val="left" w:pos="980"/>
        </w:tabs>
        <w:ind w:left="980" w:hanging="359"/>
        <w:rPr>
          <w:rFonts w:ascii="Arial" w:eastAsia="Arial" w:hAnsi="Arial" w:cs="Arial"/>
          <w:sz w:val="24"/>
          <w:szCs w:val="24"/>
        </w:rPr>
      </w:pPr>
      <w:r>
        <w:rPr>
          <w:rFonts w:ascii="Calibri" w:eastAsia="Calibri" w:hAnsi="Calibri" w:cs="Calibri"/>
          <w:sz w:val="24"/>
          <w:szCs w:val="24"/>
        </w:rPr>
        <w:t>Psicología social de la memoria</w:t>
      </w:r>
    </w:p>
    <w:p w:rsidR="00F7366B" w:rsidRDefault="00F7366B">
      <w:pPr>
        <w:spacing w:line="200" w:lineRule="exact"/>
        <w:rPr>
          <w:rFonts w:ascii="Arial" w:eastAsia="Arial" w:hAnsi="Arial" w:cs="Arial"/>
          <w:sz w:val="24"/>
          <w:szCs w:val="24"/>
        </w:rPr>
      </w:pPr>
    </w:p>
    <w:p w:rsidR="00F7366B" w:rsidRDefault="00F7366B">
      <w:pPr>
        <w:spacing w:line="397" w:lineRule="exact"/>
        <w:rPr>
          <w:rFonts w:ascii="Arial" w:eastAsia="Arial" w:hAnsi="Arial" w:cs="Arial"/>
          <w:sz w:val="24"/>
          <w:szCs w:val="24"/>
        </w:rPr>
      </w:pPr>
    </w:p>
    <w:p w:rsidR="00F7366B" w:rsidRDefault="00F8342D">
      <w:pPr>
        <w:numPr>
          <w:ilvl w:val="0"/>
          <w:numId w:val="6"/>
        </w:numPr>
        <w:tabs>
          <w:tab w:val="left" w:pos="620"/>
        </w:tabs>
        <w:ind w:left="620" w:hanging="359"/>
        <w:rPr>
          <w:rFonts w:ascii="Calibri" w:eastAsia="Calibri" w:hAnsi="Calibri" w:cs="Calibri"/>
          <w:b/>
          <w:bCs/>
          <w:sz w:val="24"/>
          <w:szCs w:val="24"/>
        </w:rPr>
      </w:pPr>
      <w:r>
        <w:rPr>
          <w:rFonts w:ascii="Calibri" w:eastAsia="Calibri" w:hAnsi="Calibri" w:cs="Calibri"/>
          <w:b/>
          <w:bCs/>
          <w:sz w:val="24"/>
          <w:szCs w:val="24"/>
        </w:rPr>
        <w:t>Metodología</w:t>
      </w:r>
    </w:p>
    <w:p w:rsidR="00F7366B" w:rsidRDefault="00F8342D">
      <w:pPr>
        <w:spacing w:line="20" w:lineRule="exact"/>
        <w:rPr>
          <w:sz w:val="20"/>
          <w:szCs w:val="20"/>
        </w:rPr>
      </w:pPr>
      <w:r>
        <w:rPr>
          <w:noProof/>
          <w:sz w:val="20"/>
          <w:szCs w:val="20"/>
          <w:lang w:val="es-CL" w:eastAsia="es-CL"/>
        </w:rPr>
        <w:drawing>
          <wp:anchor distT="0" distB="0" distL="114300" distR="114300" simplePos="0" relativeHeight="251657216" behindDoc="1" locked="0" layoutInCell="0" allowOverlap="1">
            <wp:simplePos x="0" y="0"/>
            <wp:positionH relativeFrom="column">
              <wp:posOffset>102235</wp:posOffset>
            </wp:positionH>
            <wp:positionV relativeFrom="paragraph">
              <wp:posOffset>-180340</wp:posOffset>
            </wp:positionV>
            <wp:extent cx="5742940" cy="184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5742940" cy="184150"/>
                    </a:xfrm>
                    <a:prstGeom prst="rect">
                      <a:avLst/>
                    </a:prstGeom>
                    <a:noFill/>
                  </pic:spPr>
                </pic:pic>
              </a:graphicData>
            </a:graphic>
          </wp:anchor>
        </w:drawing>
      </w:r>
    </w:p>
    <w:p w:rsidR="00F7366B" w:rsidRDefault="00F7366B">
      <w:pPr>
        <w:spacing w:line="287"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El curso contempla varias sesiones expositivas a cargo de la profesora y actividades de análisis en clases. Para un mejor aprovechamiento de las clases se recomienda encarecidamente haber realizado las lecturas mínimas con anterioridad (ver cronograma).</w:t>
      </w:r>
    </w:p>
    <w:p w:rsidR="00F7366B" w:rsidRDefault="00F7366B">
      <w:pPr>
        <w:spacing w:line="394" w:lineRule="exact"/>
        <w:rPr>
          <w:sz w:val="20"/>
          <w:szCs w:val="20"/>
        </w:rPr>
      </w:pPr>
    </w:p>
    <w:p w:rsidR="00F7366B" w:rsidRDefault="00F8342D">
      <w:pPr>
        <w:ind w:right="260"/>
        <w:jc w:val="right"/>
        <w:rPr>
          <w:sz w:val="20"/>
          <w:szCs w:val="20"/>
        </w:rPr>
      </w:pPr>
      <w:r>
        <w:rPr>
          <w:rFonts w:ascii="Calibri" w:eastAsia="Calibri" w:hAnsi="Calibri" w:cs="Calibri"/>
        </w:rPr>
        <w:t>4</w:t>
      </w:r>
    </w:p>
    <w:p w:rsidR="00F7366B" w:rsidRDefault="00F7366B">
      <w:pPr>
        <w:sectPr w:rsidR="00F7366B">
          <w:pgSz w:w="12240" w:h="15840"/>
          <w:pgMar w:top="1440" w:right="1440" w:bottom="892" w:left="1440" w:header="0" w:footer="0" w:gutter="0"/>
          <w:cols w:space="720" w:equalWidth="0">
            <w:col w:w="9360"/>
          </w:cols>
        </w:sectPr>
      </w:pPr>
    </w:p>
    <w:p w:rsidR="00F7366B" w:rsidRDefault="00F8342D">
      <w:pPr>
        <w:spacing w:line="200" w:lineRule="exact"/>
        <w:rPr>
          <w:sz w:val="20"/>
          <w:szCs w:val="20"/>
        </w:rPr>
      </w:pPr>
      <w:bookmarkStart w:id="5" w:name="page5"/>
      <w:bookmarkEnd w:id="5"/>
      <w:r>
        <w:rPr>
          <w:noProof/>
          <w:sz w:val="20"/>
          <w:szCs w:val="20"/>
          <w:lang w:val="es-CL" w:eastAsia="es-CL"/>
        </w:rPr>
        <w:lastRenderedPageBreak/>
        <w:drawing>
          <wp:anchor distT="0" distB="0" distL="114300" distR="114300" simplePos="0" relativeHeight="251658240" behindDoc="1" locked="0" layoutInCell="0" allowOverlap="1">
            <wp:simplePos x="0" y="0"/>
            <wp:positionH relativeFrom="page">
              <wp:posOffset>1007110</wp:posOffset>
            </wp:positionH>
            <wp:positionV relativeFrom="page">
              <wp:posOffset>450850</wp:posOffset>
            </wp:positionV>
            <wp:extent cx="5758815" cy="8409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758815" cy="8409940"/>
                    </a:xfrm>
                    <a:prstGeom prst="rect">
                      <a:avLst/>
                    </a:prstGeom>
                    <a:noFill/>
                  </pic:spPr>
                </pic:pic>
              </a:graphicData>
            </a:graphic>
          </wp:anchor>
        </w:drawing>
      </w:r>
    </w:p>
    <w:p w:rsidR="00F7366B" w:rsidRDefault="00F7366B">
      <w:pPr>
        <w:spacing w:line="382"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Además, se contemplan ayudantías para apoyar la realización de un trabajo de investigación aplicado a un tema de interés de los alumnos. Este trabajo es una instancia de aprendizaje y aplicación de los conceptos entregados en clases. Se entregará oportunamente al comienzo del semestre las orientaciones precisas sobre el trabajo que se relaciona con investigar (y entrevistar) un grupo político activista (ecologista, feminista, diversidad o disidencia sexual, indigenista, animalista, estudiantil, religioso, entre otros/as posibles).</w:t>
      </w:r>
    </w:p>
    <w:p w:rsidR="00F7366B" w:rsidRDefault="00F8342D">
      <w:pPr>
        <w:spacing w:line="20" w:lineRule="exact"/>
        <w:rPr>
          <w:sz w:val="20"/>
          <w:szCs w:val="20"/>
        </w:rPr>
      </w:pPr>
      <w:r>
        <w:rPr>
          <w:noProof/>
          <w:sz w:val="20"/>
          <w:szCs w:val="20"/>
          <w:lang w:val="es-CL" w:eastAsia="es-CL"/>
        </w:rPr>
        <w:drawing>
          <wp:anchor distT="0" distB="0" distL="114300" distR="114300" simplePos="0" relativeHeight="251659264" behindDoc="1" locked="0" layoutInCell="0" allowOverlap="1">
            <wp:simplePos x="0" y="0"/>
            <wp:positionH relativeFrom="column">
              <wp:posOffset>102235</wp:posOffset>
            </wp:positionH>
            <wp:positionV relativeFrom="paragraph">
              <wp:posOffset>382270</wp:posOffset>
            </wp:positionV>
            <wp:extent cx="5742940" cy="187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5742940" cy="187325"/>
                    </a:xfrm>
                    <a:prstGeom prst="rect">
                      <a:avLst/>
                    </a:prstGeom>
                    <a:noFill/>
                  </pic:spPr>
                </pic:pic>
              </a:graphicData>
            </a:graphic>
          </wp:anchor>
        </w:drawing>
      </w:r>
    </w:p>
    <w:p w:rsidR="00F7366B" w:rsidRDefault="00F7366B">
      <w:pPr>
        <w:spacing w:line="200" w:lineRule="exact"/>
        <w:rPr>
          <w:sz w:val="20"/>
          <w:szCs w:val="20"/>
        </w:rPr>
      </w:pPr>
    </w:p>
    <w:p w:rsidR="00F7366B" w:rsidRDefault="00F7366B">
      <w:pPr>
        <w:spacing w:line="379" w:lineRule="exact"/>
        <w:rPr>
          <w:sz w:val="20"/>
          <w:szCs w:val="20"/>
        </w:rPr>
      </w:pPr>
    </w:p>
    <w:p w:rsidR="00F7366B" w:rsidRDefault="00F8342D">
      <w:pPr>
        <w:numPr>
          <w:ilvl w:val="0"/>
          <w:numId w:val="7"/>
        </w:numPr>
        <w:tabs>
          <w:tab w:val="left" w:pos="620"/>
        </w:tabs>
        <w:ind w:left="620" w:hanging="359"/>
        <w:rPr>
          <w:rFonts w:ascii="Calibri" w:eastAsia="Calibri" w:hAnsi="Calibri" w:cs="Calibri"/>
          <w:b/>
          <w:bCs/>
          <w:sz w:val="24"/>
          <w:szCs w:val="24"/>
        </w:rPr>
      </w:pPr>
      <w:r>
        <w:rPr>
          <w:rFonts w:ascii="Calibri" w:eastAsia="Calibri" w:hAnsi="Calibri" w:cs="Calibri"/>
          <w:b/>
          <w:bCs/>
          <w:sz w:val="24"/>
          <w:szCs w:val="24"/>
        </w:rPr>
        <w:t>Evaluaciones y porcentajes</w:t>
      </w:r>
    </w:p>
    <w:p w:rsidR="00F7366B" w:rsidRDefault="00F7366B">
      <w:pPr>
        <w:spacing w:line="297" w:lineRule="exact"/>
        <w:rPr>
          <w:sz w:val="20"/>
          <w:szCs w:val="20"/>
        </w:rPr>
      </w:pPr>
    </w:p>
    <w:p w:rsidR="00F7366B" w:rsidRDefault="00F8342D">
      <w:pPr>
        <w:spacing w:line="236" w:lineRule="auto"/>
        <w:ind w:left="260" w:right="260"/>
        <w:jc w:val="both"/>
        <w:rPr>
          <w:sz w:val="20"/>
          <w:szCs w:val="20"/>
        </w:rPr>
      </w:pPr>
      <w:r>
        <w:rPr>
          <w:rFonts w:ascii="Calibri" w:eastAsia="Calibri" w:hAnsi="Calibri" w:cs="Calibri"/>
          <w:i/>
          <w:iCs/>
          <w:color w:val="404040"/>
          <w:sz w:val="24"/>
          <w:szCs w:val="24"/>
        </w:rPr>
        <w:t>Son mínimo 2 evaluaciones al semestre. El promedio de notas del semestre tiene una ponderación del 60% y el examen 40%.</w:t>
      </w:r>
    </w:p>
    <w:p w:rsidR="00F7366B" w:rsidRDefault="00F7366B">
      <w:pPr>
        <w:spacing w:line="9" w:lineRule="exact"/>
        <w:rPr>
          <w:sz w:val="20"/>
          <w:szCs w:val="20"/>
        </w:rPr>
      </w:pPr>
    </w:p>
    <w:p w:rsidR="00F7366B" w:rsidRDefault="00F8342D">
      <w:pPr>
        <w:spacing w:line="238" w:lineRule="auto"/>
        <w:ind w:left="260" w:right="260"/>
        <w:jc w:val="both"/>
        <w:rPr>
          <w:sz w:val="20"/>
          <w:szCs w:val="20"/>
        </w:rPr>
      </w:pPr>
      <w:r>
        <w:rPr>
          <w:rFonts w:ascii="Calibri" w:eastAsia="Calibri" w:hAnsi="Calibri" w:cs="Calibri"/>
          <w:i/>
          <w:iCs/>
          <w:color w:val="404040"/>
          <w:sz w:val="24"/>
          <w:szCs w:val="24"/>
        </w:rPr>
        <w:t>La nota de aprobación del curso es 4.0. Se eximirán del examen quienes obtengan un promedio igual o superior a 5.5.</w:t>
      </w:r>
    </w:p>
    <w:p w:rsidR="00F7366B" w:rsidRDefault="00F8342D">
      <w:pPr>
        <w:spacing w:line="20" w:lineRule="exact"/>
        <w:rPr>
          <w:sz w:val="20"/>
          <w:szCs w:val="20"/>
        </w:rPr>
      </w:pPr>
      <w:r>
        <w:rPr>
          <w:noProof/>
          <w:sz w:val="20"/>
          <w:szCs w:val="20"/>
          <w:lang w:val="es-CL" w:eastAsia="es-CL"/>
        </w:rPr>
        <w:drawing>
          <wp:anchor distT="0" distB="0" distL="114300" distR="114300" simplePos="0" relativeHeight="251660288" behindDoc="1" locked="0" layoutInCell="0" allowOverlap="1">
            <wp:simplePos x="0" y="0"/>
            <wp:positionH relativeFrom="column">
              <wp:posOffset>102235</wp:posOffset>
            </wp:positionH>
            <wp:positionV relativeFrom="paragraph">
              <wp:posOffset>10795</wp:posOffset>
            </wp:positionV>
            <wp:extent cx="5742940" cy="247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5742940" cy="247650"/>
                    </a:xfrm>
                    <a:prstGeom prst="rect">
                      <a:avLst/>
                    </a:prstGeom>
                    <a:noFill/>
                  </pic:spPr>
                </pic:pic>
              </a:graphicData>
            </a:graphic>
          </wp:anchor>
        </w:drawing>
      </w:r>
    </w:p>
    <w:p w:rsidR="00F7366B" w:rsidRDefault="00F7366B">
      <w:pPr>
        <w:spacing w:line="39" w:lineRule="exact"/>
        <w:rPr>
          <w:sz w:val="20"/>
          <w:szCs w:val="20"/>
        </w:rPr>
      </w:pPr>
    </w:p>
    <w:p w:rsidR="00F7366B" w:rsidRDefault="00F8342D">
      <w:pPr>
        <w:ind w:left="260"/>
        <w:rPr>
          <w:sz w:val="20"/>
          <w:szCs w:val="20"/>
        </w:rPr>
      </w:pPr>
      <w:r>
        <w:rPr>
          <w:rFonts w:ascii="Calibri" w:eastAsia="Calibri" w:hAnsi="Calibri" w:cs="Calibri"/>
          <w:b/>
          <w:bCs/>
          <w:sz w:val="24"/>
          <w:szCs w:val="24"/>
        </w:rPr>
        <w:t>13. Requisitos de aprobación</w:t>
      </w:r>
    </w:p>
    <w:p w:rsidR="00F7366B" w:rsidRDefault="00F7366B">
      <w:pPr>
        <w:spacing w:line="352" w:lineRule="exact"/>
        <w:rPr>
          <w:sz w:val="20"/>
          <w:szCs w:val="20"/>
        </w:rPr>
      </w:pPr>
    </w:p>
    <w:p w:rsidR="00F7366B" w:rsidRDefault="00F8342D">
      <w:pPr>
        <w:ind w:left="260"/>
        <w:rPr>
          <w:sz w:val="20"/>
          <w:szCs w:val="20"/>
        </w:rPr>
      </w:pPr>
      <w:r>
        <w:rPr>
          <w:rFonts w:ascii="Calibri" w:eastAsia="Calibri" w:hAnsi="Calibri" w:cs="Calibri"/>
          <w:i/>
          <w:iCs/>
          <w:color w:val="404040"/>
          <w:sz w:val="24"/>
          <w:szCs w:val="24"/>
        </w:rPr>
        <w:t>Para rendir examen de primera instancia serán requisitos:</w:t>
      </w:r>
    </w:p>
    <w:p w:rsidR="00F7366B" w:rsidRDefault="00F7366B">
      <w:pPr>
        <w:spacing w:line="13" w:lineRule="exact"/>
        <w:rPr>
          <w:sz w:val="20"/>
          <w:szCs w:val="20"/>
        </w:rPr>
      </w:pPr>
    </w:p>
    <w:p w:rsidR="00F7366B" w:rsidRDefault="00F8342D">
      <w:pPr>
        <w:numPr>
          <w:ilvl w:val="0"/>
          <w:numId w:val="8"/>
        </w:numPr>
        <w:tabs>
          <w:tab w:val="left" w:pos="980"/>
        </w:tabs>
        <w:ind w:left="980" w:hanging="359"/>
        <w:rPr>
          <w:rFonts w:ascii="Arial" w:eastAsia="Arial" w:hAnsi="Arial" w:cs="Arial"/>
          <w:color w:val="404040"/>
          <w:sz w:val="24"/>
          <w:szCs w:val="24"/>
        </w:rPr>
      </w:pPr>
      <w:r>
        <w:rPr>
          <w:rFonts w:ascii="Calibri" w:eastAsia="Calibri" w:hAnsi="Calibri" w:cs="Calibri"/>
          <w:i/>
          <w:iCs/>
          <w:color w:val="404040"/>
          <w:sz w:val="24"/>
          <w:szCs w:val="24"/>
        </w:rPr>
        <w:t>Asistencia mínima de 50%</w:t>
      </w:r>
    </w:p>
    <w:p w:rsidR="00F7366B" w:rsidRDefault="00F7366B">
      <w:pPr>
        <w:spacing w:line="12" w:lineRule="exact"/>
        <w:rPr>
          <w:rFonts w:ascii="Arial" w:eastAsia="Arial" w:hAnsi="Arial" w:cs="Arial"/>
          <w:color w:val="404040"/>
          <w:sz w:val="24"/>
          <w:szCs w:val="24"/>
        </w:rPr>
      </w:pPr>
    </w:p>
    <w:p w:rsidR="00F7366B" w:rsidRDefault="00F8342D">
      <w:pPr>
        <w:numPr>
          <w:ilvl w:val="0"/>
          <w:numId w:val="8"/>
        </w:numPr>
        <w:tabs>
          <w:tab w:val="left" w:pos="980"/>
        </w:tabs>
        <w:ind w:left="980" w:hanging="359"/>
        <w:rPr>
          <w:rFonts w:ascii="Arial" w:eastAsia="Arial" w:hAnsi="Arial" w:cs="Arial"/>
          <w:color w:val="404040"/>
          <w:sz w:val="24"/>
          <w:szCs w:val="24"/>
        </w:rPr>
      </w:pPr>
      <w:r>
        <w:rPr>
          <w:rFonts w:ascii="Calibri" w:eastAsia="Calibri" w:hAnsi="Calibri" w:cs="Calibri"/>
          <w:i/>
          <w:iCs/>
          <w:color w:val="404040"/>
          <w:sz w:val="24"/>
          <w:szCs w:val="24"/>
        </w:rPr>
        <w:t>Promedio de notas del semestre igual o mayor a 3.5.</w:t>
      </w:r>
    </w:p>
    <w:p w:rsidR="00F7366B" w:rsidRDefault="00F7366B">
      <w:pPr>
        <w:spacing w:line="297" w:lineRule="exact"/>
        <w:rPr>
          <w:sz w:val="20"/>
          <w:szCs w:val="20"/>
        </w:rPr>
      </w:pPr>
    </w:p>
    <w:p w:rsidR="00F7366B" w:rsidRDefault="00F8342D">
      <w:pPr>
        <w:spacing w:line="238" w:lineRule="auto"/>
        <w:ind w:left="260" w:right="260"/>
        <w:rPr>
          <w:sz w:val="20"/>
          <w:szCs w:val="20"/>
        </w:rPr>
      </w:pPr>
      <w:r>
        <w:rPr>
          <w:rFonts w:ascii="Calibri" w:eastAsia="Calibri" w:hAnsi="Calibri" w:cs="Calibri"/>
          <w:i/>
          <w:iCs/>
          <w:color w:val="404040"/>
          <w:sz w:val="24"/>
          <w:szCs w:val="24"/>
        </w:rPr>
        <w:t>Quienes no cumplan con los requisitos para presentarse al examen de primera instancia tendrán derecho a rendir examen de segunda oportunidad.</w:t>
      </w:r>
    </w:p>
    <w:p w:rsidR="00F7366B" w:rsidRDefault="00F8342D">
      <w:pPr>
        <w:spacing w:line="20" w:lineRule="exact"/>
        <w:rPr>
          <w:sz w:val="20"/>
          <w:szCs w:val="20"/>
        </w:rPr>
      </w:pPr>
      <w:r>
        <w:rPr>
          <w:noProof/>
          <w:sz w:val="20"/>
          <w:szCs w:val="20"/>
          <w:lang w:val="es-CL" w:eastAsia="es-CL"/>
        </w:rPr>
        <mc:AlternateContent>
          <mc:Choice Requires="wps">
            <w:drawing>
              <wp:anchor distT="0" distB="0" distL="114300" distR="114300" simplePos="0" relativeHeight="251661312" behindDoc="1" locked="0" layoutInCell="0" allowOverlap="1">
                <wp:simplePos x="0" y="0"/>
                <wp:positionH relativeFrom="column">
                  <wp:posOffset>92075</wp:posOffset>
                </wp:positionH>
                <wp:positionV relativeFrom="paragraph">
                  <wp:posOffset>379095</wp:posOffset>
                </wp:positionV>
                <wp:extent cx="57588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4763"/>
                        </a:xfrm>
                        <a:prstGeom prst="line">
                          <a:avLst/>
                        </a:prstGeom>
                        <a:solidFill>
                          <a:srgbClr val="FFFFFF"/>
                        </a:solidFill>
                        <a:ln w="6350">
                          <a:solidFill>
                            <a:srgbClr val="4F81BD"/>
                          </a:solidFill>
                          <a:miter lim="800000"/>
                          <a:headEnd/>
                          <a:tailEnd/>
                        </a:ln>
                      </wps:spPr>
                      <wps:bodyPr/>
                    </wps:wsp>
                  </a:graphicData>
                </a:graphic>
              </wp:anchor>
            </w:drawing>
          </mc:Choice>
          <mc:Fallback>
            <w:pict>
              <v:line w14:anchorId="19B3DB51"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25pt,29.85pt" to="460.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" o:allowincell="f" filled="t" strokecolor="#4f81bd" strokeweight=".5pt">
                <v:stroke joinstyle="miter"/>
                <o:lock v:ext="edit" shapetype="f"/>
              </v:line>
            </w:pict>
          </mc:Fallback>
        </mc:AlternateContent>
      </w: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348" w:lineRule="exact"/>
        <w:rPr>
          <w:sz w:val="20"/>
          <w:szCs w:val="20"/>
        </w:rPr>
      </w:pPr>
    </w:p>
    <w:p w:rsidR="00F7366B" w:rsidRDefault="00F8342D">
      <w:pPr>
        <w:ind w:left="9000"/>
        <w:rPr>
          <w:sz w:val="20"/>
          <w:szCs w:val="20"/>
        </w:rPr>
      </w:pPr>
      <w:r>
        <w:rPr>
          <w:rFonts w:ascii="Calibri" w:eastAsia="Calibri" w:hAnsi="Calibri" w:cs="Calibri"/>
          <w:sz w:val="19"/>
          <w:szCs w:val="19"/>
        </w:rPr>
        <w:t>5</w:t>
      </w:r>
    </w:p>
    <w:p w:rsidR="00F7366B" w:rsidRDefault="00F7366B">
      <w:pPr>
        <w:sectPr w:rsidR="00F7366B">
          <w:pgSz w:w="12240" w:h="15840"/>
          <w:pgMar w:top="1440" w:right="1440" w:bottom="923" w:left="1440" w:header="0" w:footer="0" w:gutter="0"/>
          <w:cols w:space="720" w:equalWidth="0">
            <w:col w:w="9360"/>
          </w:cols>
        </w:sectPr>
      </w:pPr>
    </w:p>
    <w:p w:rsidR="00F7366B" w:rsidRDefault="00F8342D">
      <w:pPr>
        <w:spacing w:line="200" w:lineRule="exact"/>
        <w:rPr>
          <w:sz w:val="20"/>
          <w:szCs w:val="20"/>
        </w:rPr>
      </w:pPr>
      <w:bookmarkStart w:id="6" w:name="page6"/>
      <w:bookmarkEnd w:id="6"/>
      <w:r>
        <w:rPr>
          <w:noProof/>
          <w:sz w:val="20"/>
          <w:szCs w:val="20"/>
          <w:lang w:val="es-CL" w:eastAsia="es-CL"/>
        </w:rPr>
        <w:lastRenderedPageBreak/>
        <w:drawing>
          <wp:anchor distT="0" distB="0" distL="114300" distR="114300" simplePos="0" relativeHeight="251662336" behindDoc="1" locked="0" layoutInCell="0" allowOverlap="1">
            <wp:simplePos x="0" y="0"/>
            <wp:positionH relativeFrom="page">
              <wp:posOffset>1007110</wp:posOffset>
            </wp:positionH>
            <wp:positionV relativeFrom="page">
              <wp:posOffset>450850</wp:posOffset>
            </wp:positionV>
            <wp:extent cx="5758815" cy="84289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5758815" cy="8428990"/>
                    </a:xfrm>
                    <a:prstGeom prst="rect">
                      <a:avLst/>
                    </a:prstGeom>
                    <a:noFill/>
                  </pic:spPr>
                </pic:pic>
              </a:graphicData>
            </a:graphic>
          </wp:anchor>
        </w:drawing>
      </w:r>
    </w:p>
    <w:p w:rsidR="00F7366B" w:rsidRDefault="00F7366B">
      <w:pPr>
        <w:spacing w:line="378" w:lineRule="exact"/>
        <w:rPr>
          <w:sz w:val="20"/>
          <w:szCs w:val="20"/>
        </w:rPr>
      </w:pPr>
    </w:p>
    <w:p w:rsidR="00F7366B" w:rsidRDefault="00F8342D">
      <w:pPr>
        <w:ind w:left="260"/>
        <w:rPr>
          <w:sz w:val="20"/>
          <w:szCs w:val="20"/>
        </w:rPr>
      </w:pPr>
      <w:r>
        <w:rPr>
          <w:rFonts w:ascii="Calibri" w:eastAsia="Calibri" w:hAnsi="Calibri" w:cs="Calibri"/>
          <w:b/>
          <w:bCs/>
          <w:sz w:val="24"/>
          <w:szCs w:val="24"/>
        </w:rPr>
        <w:t>14. Palabras Clave</w:t>
      </w:r>
    </w:p>
    <w:p w:rsidR="00F7366B" w:rsidRDefault="00F7366B">
      <w:pPr>
        <w:spacing w:line="17" w:lineRule="exact"/>
        <w:rPr>
          <w:sz w:val="20"/>
          <w:szCs w:val="20"/>
        </w:rPr>
      </w:pPr>
    </w:p>
    <w:p w:rsidR="00F7366B" w:rsidRDefault="00F8342D">
      <w:pPr>
        <w:spacing w:line="270" w:lineRule="auto"/>
        <w:ind w:left="260" w:right="260"/>
        <w:rPr>
          <w:sz w:val="20"/>
          <w:szCs w:val="20"/>
        </w:rPr>
      </w:pPr>
      <w:r>
        <w:rPr>
          <w:rFonts w:ascii="Calibri" w:eastAsia="Calibri" w:hAnsi="Calibri" w:cs="Calibri"/>
          <w:sz w:val="24"/>
          <w:szCs w:val="24"/>
        </w:rPr>
        <w:t>Psicología social crítica, Interacción social, Individuo/sociedad; identidad; procesos de subjetivación; género; memoria.</w:t>
      </w:r>
    </w:p>
    <w:p w:rsidR="00F7366B" w:rsidRDefault="00F8342D">
      <w:pPr>
        <w:spacing w:line="20" w:lineRule="exact"/>
        <w:rPr>
          <w:sz w:val="20"/>
          <w:szCs w:val="20"/>
        </w:rPr>
      </w:pPr>
      <w:r>
        <w:rPr>
          <w:noProof/>
          <w:sz w:val="20"/>
          <w:szCs w:val="20"/>
          <w:lang w:val="es-CL" w:eastAsia="es-CL"/>
        </w:rPr>
        <w:drawing>
          <wp:anchor distT="0" distB="0" distL="114300" distR="114300" simplePos="0" relativeHeight="251663360" behindDoc="1" locked="0" layoutInCell="0" allowOverlap="1">
            <wp:simplePos x="0" y="0"/>
            <wp:positionH relativeFrom="column">
              <wp:posOffset>102235</wp:posOffset>
            </wp:positionH>
            <wp:positionV relativeFrom="paragraph">
              <wp:posOffset>139065</wp:posOffset>
            </wp:positionV>
            <wp:extent cx="5742940" cy="342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blip>
                    <a:srcRect/>
                    <a:stretch>
                      <a:fillRect/>
                    </a:stretch>
                  </pic:blipFill>
                  <pic:spPr bwMode="auto">
                    <a:xfrm>
                      <a:off x="0" y="0"/>
                      <a:ext cx="5742940" cy="342900"/>
                    </a:xfrm>
                    <a:prstGeom prst="rect">
                      <a:avLst/>
                    </a:prstGeom>
                    <a:noFill/>
                  </pic:spPr>
                </pic:pic>
              </a:graphicData>
            </a:graphic>
          </wp:anchor>
        </w:drawing>
      </w:r>
    </w:p>
    <w:p w:rsidR="00F7366B" w:rsidRDefault="00F7366B">
      <w:pPr>
        <w:spacing w:line="196" w:lineRule="exact"/>
        <w:rPr>
          <w:sz w:val="20"/>
          <w:szCs w:val="20"/>
        </w:rPr>
      </w:pPr>
    </w:p>
    <w:p w:rsidR="00F7366B" w:rsidRDefault="00F8342D">
      <w:pPr>
        <w:ind w:left="260"/>
        <w:rPr>
          <w:sz w:val="20"/>
          <w:szCs w:val="20"/>
        </w:rPr>
      </w:pPr>
      <w:r>
        <w:rPr>
          <w:rFonts w:ascii="Calibri" w:eastAsia="Calibri" w:hAnsi="Calibri" w:cs="Calibri"/>
          <w:b/>
          <w:bCs/>
          <w:sz w:val="24"/>
          <w:szCs w:val="24"/>
        </w:rPr>
        <w:t>15. Bibliografía obligatoria y complementaria por clase</w:t>
      </w:r>
    </w:p>
    <w:p w:rsidR="00F7366B" w:rsidRDefault="00F7366B">
      <w:pPr>
        <w:spacing w:line="200" w:lineRule="exact"/>
        <w:rPr>
          <w:sz w:val="20"/>
          <w:szCs w:val="20"/>
        </w:rPr>
      </w:pPr>
    </w:p>
    <w:p w:rsidR="00F7366B" w:rsidRDefault="00F7366B">
      <w:pPr>
        <w:spacing w:line="348" w:lineRule="exact"/>
        <w:rPr>
          <w:sz w:val="20"/>
          <w:szCs w:val="20"/>
        </w:rPr>
      </w:pPr>
    </w:p>
    <w:p w:rsidR="00F7366B" w:rsidRDefault="00F8342D">
      <w:pPr>
        <w:ind w:left="980"/>
        <w:rPr>
          <w:sz w:val="20"/>
          <w:szCs w:val="20"/>
        </w:rPr>
      </w:pPr>
      <w:r>
        <w:rPr>
          <w:rFonts w:ascii="Calibri" w:eastAsia="Calibri" w:hAnsi="Calibri" w:cs="Calibri"/>
          <w:b/>
          <w:bCs/>
          <w:sz w:val="24"/>
          <w:szCs w:val="24"/>
        </w:rPr>
        <w:t>Bibliografía Obligatoria</w:t>
      </w:r>
    </w:p>
    <w:p w:rsidR="00F7366B" w:rsidRDefault="00F7366B">
      <w:pPr>
        <w:spacing w:line="292" w:lineRule="exact"/>
        <w:rPr>
          <w:sz w:val="20"/>
          <w:szCs w:val="20"/>
        </w:rPr>
      </w:pPr>
    </w:p>
    <w:p w:rsidR="00F7366B" w:rsidRDefault="00F8342D">
      <w:pPr>
        <w:ind w:left="4260"/>
        <w:rPr>
          <w:sz w:val="20"/>
          <w:szCs w:val="20"/>
        </w:rPr>
      </w:pPr>
      <w:r>
        <w:rPr>
          <w:rFonts w:ascii="Calibri" w:eastAsia="Calibri" w:hAnsi="Calibri" w:cs="Calibri"/>
          <w:b/>
          <w:bCs/>
          <w:sz w:val="24"/>
          <w:szCs w:val="24"/>
        </w:rPr>
        <w:t>Primera Unidad</w:t>
      </w:r>
    </w:p>
    <w:p w:rsidR="00F7366B" w:rsidRDefault="00F7366B">
      <w:pPr>
        <w:spacing w:line="292" w:lineRule="exact"/>
        <w:rPr>
          <w:sz w:val="20"/>
          <w:szCs w:val="20"/>
        </w:rPr>
      </w:pPr>
    </w:p>
    <w:p w:rsidR="00F7366B" w:rsidRDefault="00F8342D">
      <w:pPr>
        <w:ind w:left="260"/>
        <w:rPr>
          <w:sz w:val="20"/>
          <w:szCs w:val="20"/>
        </w:rPr>
      </w:pPr>
      <w:r>
        <w:rPr>
          <w:rFonts w:ascii="Calibri" w:eastAsia="Calibri" w:hAnsi="Calibri" w:cs="Calibri"/>
          <w:sz w:val="24"/>
          <w:szCs w:val="24"/>
        </w:rPr>
        <w:t>Martín-Baró, Ignacio (1983). Acción e Ideología: Psicología Social desde Centroamérica</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UCA Editores: El Salvador, 1997. Capítulo 1: Entre el individuo y la Sociedad.</w:t>
      </w:r>
    </w:p>
    <w:p w:rsidR="00F7366B" w:rsidRDefault="00F7366B">
      <w:pPr>
        <w:spacing w:line="297" w:lineRule="exact"/>
        <w:rPr>
          <w:sz w:val="20"/>
          <w:szCs w:val="20"/>
        </w:rPr>
      </w:pPr>
    </w:p>
    <w:p w:rsidR="00F7366B" w:rsidRDefault="00F8342D">
      <w:pPr>
        <w:spacing w:line="238" w:lineRule="auto"/>
        <w:ind w:left="260" w:right="660"/>
        <w:rPr>
          <w:sz w:val="20"/>
          <w:szCs w:val="20"/>
        </w:rPr>
      </w:pPr>
      <w:r>
        <w:rPr>
          <w:rFonts w:ascii="Calibri" w:eastAsia="Calibri" w:hAnsi="Calibri" w:cs="Calibri"/>
          <w:sz w:val="24"/>
          <w:szCs w:val="24"/>
        </w:rPr>
        <w:t>Ibáñez, Tomás (2004). El cómo y el porqué de la psicología social, en Ibañez, T. (coord.) Introducción a la Psicología Social, pp. 53-91. Barcelona: Editorial UOC.</w:t>
      </w:r>
    </w:p>
    <w:p w:rsidR="00F7366B" w:rsidRDefault="00F7366B">
      <w:pPr>
        <w:spacing w:line="299" w:lineRule="exact"/>
        <w:rPr>
          <w:sz w:val="20"/>
          <w:szCs w:val="20"/>
        </w:rPr>
      </w:pPr>
    </w:p>
    <w:p w:rsidR="00F7366B" w:rsidRDefault="00F8342D">
      <w:pPr>
        <w:spacing w:line="238" w:lineRule="auto"/>
        <w:ind w:left="260" w:right="740"/>
        <w:rPr>
          <w:sz w:val="20"/>
          <w:szCs w:val="20"/>
        </w:rPr>
      </w:pPr>
      <w:r>
        <w:rPr>
          <w:rFonts w:ascii="Calibri" w:eastAsia="Calibri" w:hAnsi="Calibri" w:cs="Calibri"/>
          <w:sz w:val="24"/>
          <w:szCs w:val="24"/>
        </w:rPr>
        <w:t>Collier, Gary; Minton, Henry y Reynolds, Graham (1996). Escenarios y tendencias de la Psicología Social. Madrid: Editorial Tecnos. Cap. 12. Crisis y Revisión pp. 435-457.</w:t>
      </w:r>
    </w:p>
    <w:p w:rsidR="00F7366B" w:rsidRDefault="00F7366B">
      <w:pPr>
        <w:spacing w:line="294" w:lineRule="exact"/>
        <w:rPr>
          <w:sz w:val="20"/>
          <w:szCs w:val="20"/>
        </w:rPr>
      </w:pPr>
    </w:p>
    <w:p w:rsidR="00F7366B" w:rsidRPr="00F8342D" w:rsidRDefault="00F8342D">
      <w:pPr>
        <w:ind w:left="260"/>
        <w:rPr>
          <w:sz w:val="20"/>
          <w:szCs w:val="20"/>
          <w:lang w:val="en-US"/>
        </w:rPr>
      </w:pPr>
      <w:r>
        <w:rPr>
          <w:rFonts w:ascii="Calibri" w:eastAsia="Calibri" w:hAnsi="Calibri" w:cs="Calibri"/>
          <w:sz w:val="24"/>
          <w:szCs w:val="24"/>
        </w:rPr>
        <w:t xml:space="preserve">Rose, Nikolas. (1998). Una historia crítica de la psicología. </w:t>
      </w:r>
      <w:r w:rsidRPr="00F8342D">
        <w:rPr>
          <w:rFonts w:ascii="Calibri" w:eastAsia="Calibri" w:hAnsi="Calibri" w:cs="Calibri"/>
          <w:sz w:val="24"/>
          <w:szCs w:val="24"/>
          <w:lang w:val="en-US"/>
        </w:rPr>
        <w:t>Inventing our Selves.</w:t>
      </w:r>
    </w:p>
    <w:p w:rsidR="00F7366B" w:rsidRPr="00F8342D" w:rsidRDefault="00F8342D">
      <w:pPr>
        <w:spacing w:line="237" w:lineRule="auto"/>
        <w:ind w:left="260"/>
        <w:rPr>
          <w:sz w:val="20"/>
          <w:szCs w:val="20"/>
          <w:lang w:val="en-US"/>
        </w:rPr>
      </w:pPr>
      <w:r w:rsidRPr="00F8342D">
        <w:rPr>
          <w:rFonts w:ascii="Calibri" w:eastAsia="Calibri" w:hAnsi="Calibri" w:cs="Calibri"/>
          <w:sz w:val="24"/>
          <w:szCs w:val="24"/>
          <w:lang w:val="en-US"/>
        </w:rPr>
        <w:t>Cambridge: Cambridge University Press.</w:t>
      </w:r>
    </w:p>
    <w:p w:rsidR="00F7366B" w:rsidRPr="00F8342D" w:rsidRDefault="00F7366B">
      <w:pPr>
        <w:spacing w:line="200" w:lineRule="exact"/>
        <w:rPr>
          <w:sz w:val="20"/>
          <w:szCs w:val="20"/>
          <w:lang w:val="en-US"/>
        </w:rPr>
      </w:pPr>
    </w:p>
    <w:p w:rsidR="00F7366B" w:rsidRPr="00F8342D" w:rsidRDefault="00F7366B">
      <w:pPr>
        <w:spacing w:line="388" w:lineRule="exact"/>
        <w:rPr>
          <w:sz w:val="20"/>
          <w:szCs w:val="20"/>
          <w:lang w:val="en-US"/>
        </w:rPr>
      </w:pPr>
    </w:p>
    <w:p w:rsidR="00F7366B" w:rsidRDefault="00F8342D">
      <w:pPr>
        <w:jc w:val="center"/>
        <w:rPr>
          <w:sz w:val="20"/>
          <w:szCs w:val="20"/>
        </w:rPr>
      </w:pPr>
      <w:r>
        <w:rPr>
          <w:rFonts w:ascii="Calibri" w:eastAsia="Calibri" w:hAnsi="Calibri" w:cs="Calibri"/>
          <w:b/>
          <w:bCs/>
          <w:sz w:val="24"/>
          <w:szCs w:val="24"/>
        </w:rPr>
        <w:t>Segunda Unidad</w:t>
      </w:r>
    </w:p>
    <w:p w:rsidR="00F7366B" w:rsidRDefault="00F7366B">
      <w:pPr>
        <w:spacing w:line="200" w:lineRule="exact"/>
        <w:rPr>
          <w:sz w:val="20"/>
          <w:szCs w:val="20"/>
        </w:rPr>
      </w:pPr>
    </w:p>
    <w:p w:rsidR="00F7366B" w:rsidRDefault="00F7366B">
      <w:pPr>
        <w:spacing w:line="392" w:lineRule="exact"/>
        <w:rPr>
          <w:sz w:val="20"/>
          <w:szCs w:val="20"/>
        </w:rPr>
      </w:pPr>
    </w:p>
    <w:p w:rsidR="00F7366B" w:rsidRDefault="00F8342D">
      <w:pPr>
        <w:spacing w:line="237" w:lineRule="auto"/>
        <w:ind w:left="260" w:right="1160"/>
        <w:rPr>
          <w:sz w:val="20"/>
          <w:szCs w:val="20"/>
        </w:rPr>
      </w:pPr>
      <w:r>
        <w:rPr>
          <w:rFonts w:ascii="Calibri" w:eastAsia="Calibri" w:hAnsi="Calibri" w:cs="Calibri"/>
          <w:sz w:val="24"/>
          <w:szCs w:val="24"/>
        </w:rPr>
        <w:t>Pujal, Margot (2004). La identidad (el self), en Ibañez, T. (coord.) Introducción a la Psicología Social, pp. 93-138. Barcelona: Editorial UOC.</w:t>
      </w:r>
    </w:p>
    <w:p w:rsidR="00F7366B" w:rsidRDefault="00F7366B">
      <w:pPr>
        <w:spacing w:line="302" w:lineRule="exact"/>
        <w:rPr>
          <w:sz w:val="20"/>
          <w:szCs w:val="20"/>
        </w:rPr>
      </w:pPr>
    </w:p>
    <w:p w:rsidR="00F7366B" w:rsidRDefault="00F8342D">
      <w:pPr>
        <w:spacing w:line="236" w:lineRule="auto"/>
        <w:ind w:left="260" w:right="640"/>
        <w:rPr>
          <w:sz w:val="20"/>
          <w:szCs w:val="20"/>
        </w:rPr>
      </w:pPr>
      <w:r>
        <w:rPr>
          <w:rFonts w:ascii="Calibri" w:eastAsia="Calibri" w:hAnsi="Calibri" w:cs="Calibri"/>
          <w:sz w:val="24"/>
          <w:szCs w:val="24"/>
        </w:rPr>
        <w:t>Ibañez, Tomás (2001). Construccionismo y Psicología, pp. 225-247. En Municiones para Disidentes. Realidad-Verdad-Política. Barcelona: Gedisa Editorial.</w:t>
      </w:r>
    </w:p>
    <w:p w:rsidR="00F7366B" w:rsidRDefault="00F7366B">
      <w:pPr>
        <w:spacing w:line="294" w:lineRule="exact"/>
        <w:rPr>
          <w:sz w:val="20"/>
          <w:szCs w:val="20"/>
        </w:rPr>
      </w:pPr>
    </w:p>
    <w:p w:rsidR="00F7366B" w:rsidRDefault="00F8342D">
      <w:pPr>
        <w:ind w:left="260"/>
        <w:rPr>
          <w:sz w:val="20"/>
          <w:szCs w:val="20"/>
        </w:rPr>
      </w:pPr>
      <w:r>
        <w:rPr>
          <w:rFonts w:ascii="Calibri" w:eastAsia="Calibri" w:hAnsi="Calibri" w:cs="Calibri"/>
          <w:sz w:val="24"/>
          <w:szCs w:val="24"/>
        </w:rPr>
        <w:t>Hacking, Ian (2001). ¿Por qué preguntar de qué? En ¿La construcción social de qué?, pp.</w:t>
      </w:r>
    </w:p>
    <w:p w:rsidR="00F7366B" w:rsidRDefault="00F7366B">
      <w:pPr>
        <w:spacing w:line="3" w:lineRule="exact"/>
        <w:rPr>
          <w:sz w:val="20"/>
          <w:szCs w:val="20"/>
        </w:rPr>
      </w:pPr>
    </w:p>
    <w:p w:rsidR="00F7366B" w:rsidRDefault="00F8342D">
      <w:pPr>
        <w:ind w:left="260"/>
        <w:rPr>
          <w:sz w:val="20"/>
          <w:szCs w:val="20"/>
        </w:rPr>
      </w:pPr>
      <w:r>
        <w:rPr>
          <w:rFonts w:ascii="Calibri" w:eastAsia="Calibri" w:hAnsi="Calibri" w:cs="Calibri"/>
          <w:sz w:val="24"/>
          <w:szCs w:val="24"/>
        </w:rPr>
        <w:t>17-68. Barcelona:Paidós.</w:t>
      </w:r>
    </w:p>
    <w:p w:rsidR="00F7366B" w:rsidRDefault="00F7366B">
      <w:pPr>
        <w:spacing w:line="297" w:lineRule="exact"/>
        <w:rPr>
          <w:sz w:val="20"/>
          <w:szCs w:val="20"/>
        </w:rPr>
      </w:pPr>
    </w:p>
    <w:p w:rsidR="00F7366B" w:rsidRDefault="00F8342D">
      <w:pPr>
        <w:spacing w:line="238" w:lineRule="auto"/>
        <w:ind w:left="260" w:right="480"/>
        <w:rPr>
          <w:sz w:val="20"/>
          <w:szCs w:val="20"/>
        </w:rPr>
      </w:pPr>
      <w:r>
        <w:rPr>
          <w:rFonts w:ascii="Calibri" w:eastAsia="Calibri" w:hAnsi="Calibri" w:cs="Calibri"/>
          <w:sz w:val="24"/>
          <w:szCs w:val="24"/>
        </w:rPr>
        <w:t>González Rey, Fernando (2004). La Crítica en la Psicología Social Latinoamericana y su impacto en los Diferentes Campos de la Psicología. Revista Interamericana de Psicología, 38 (2), pp. 351-360</w:t>
      </w: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98" w:lineRule="exact"/>
        <w:rPr>
          <w:sz w:val="20"/>
          <w:szCs w:val="20"/>
        </w:rPr>
      </w:pPr>
    </w:p>
    <w:p w:rsidR="00F7366B" w:rsidRDefault="00F8342D">
      <w:pPr>
        <w:ind w:right="260"/>
        <w:jc w:val="right"/>
        <w:rPr>
          <w:sz w:val="20"/>
          <w:szCs w:val="20"/>
        </w:rPr>
      </w:pPr>
      <w:r>
        <w:rPr>
          <w:rFonts w:ascii="Calibri" w:eastAsia="Calibri" w:hAnsi="Calibri" w:cs="Calibri"/>
        </w:rPr>
        <w:t>6</w:t>
      </w:r>
    </w:p>
    <w:p w:rsidR="00F7366B" w:rsidRDefault="00F7366B">
      <w:pPr>
        <w:sectPr w:rsidR="00F7366B">
          <w:pgSz w:w="12240" w:h="15840"/>
          <w:pgMar w:top="1440" w:right="1440" w:bottom="892" w:left="1440" w:header="0" w:footer="0" w:gutter="0"/>
          <w:cols w:space="720" w:equalWidth="0">
            <w:col w:w="9360"/>
          </w:cols>
        </w:sectPr>
      </w:pPr>
    </w:p>
    <w:p w:rsidR="00F7366B" w:rsidRDefault="00F8342D">
      <w:pPr>
        <w:spacing w:line="200" w:lineRule="exact"/>
        <w:rPr>
          <w:sz w:val="20"/>
          <w:szCs w:val="20"/>
        </w:rPr>
      </w:pPr>
      <w:bookmarkStart w:id="7" w:name="page7"/>
      <w:bookmarkEnd w:id="7"/>
      <w:r>
        <w:rPr>
          <w:noProof/>
          <w:sz w:val="20"/>
          <w:szCs w:val="20"/>
          <w:lang w:val="es-CL" w:eastAsia="es-CL"/>
        </w:rPr>
        <w:lastRenderedPageBreak/>
        <w:drawing>
          <wp:anchor distT="0" distB="0" distL="114300" distR="114300" simplePos="0" relativeHeight="251664384" behindDoc="1" locked="0" layoutInCell="0" allowOverlap="1">
            <wp:simplePos x="0" y="0"/>
            <wp:positionH relativeFrom="page">
              <wp:posOffset>1007110</wp:posOffset>
            </wp:positionH>
            <wp:positionV relativeFrom="page">
              <wp:posOffset>450850</wp:posOffset>
            </wp:positionV>
            <wp:extent cx="5758815" cy="8492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5758815" cy="8492490"/>
                    </a:xfrm>
                    <a:prstGeom prst="rect">
                      <a:avLst/>
                    </a:prstGeom>
                    <a:noFill/>
                  </pic:spPr>
                </pic:pic>
              </a:graphicData>
            </a:graphic>
          </wp:anchor>
        </w:drawing>
      </w:r>
    </w:p>
    <w:p w:rsidR="00F7366B" w:rsidRDefault="00F7366B">
      <w:pPr>
        <w:spacing w:line="382" w:lineRule="exact"/>
        <w:rPr>
          <w:sz w:val="20"/>
          <w:szCs w:val="20"/>
        </w:rPr>
      </w:pPr>
    </w:p>
    <w:p w:rsidR="00F7366B" w:rsidRDefault="00F8342D">
      <w:pPr>
        <w:spacing w:line="237" w:lineRule="auto"/>
        <w:ind w:left="260" w:right="1160"/>
        <w:rPr>
          <w:sz w:val="20"/>
          <w:szCs w:val="20"/>
        </w:rPr>
      </w:pPr>
      <w:r>
        <w:rPr>
          <w:rFonts w:ascii="Calibri" w:eastAsia="Calibri" w:hAnsi="Calibri" w:cs="Calibri"/>
          <w:sz w:val="24"/>
          <w:szCs w:val="24"/>
        </w:rPr>
        <w:t>Parker, Ian (2009) ‘Psicología crítica: ¿Qué es y qué no es?’ Revista Venezolana de Psicología Clínica Comunitaria, 8, pp. 139-159.</w:t>
      </w:r>
    </w:p>
    <w:p w:rsidR="00F7366B" w:rsidRDefault="00F7366B">
      <w:pPr>
        <w:spacing w:line="297" w:lineRule="exact"/>
        <w:rPr>
          <w:sz w:val="20"/>
          <w:szCs w:val="20"/>
        </w:rPr>
      </w:pPr>
    </w:p>
    <w:p w:rsidR="00F7366B" w:rsidRDefault="00F8342D">
      <w:pPr>
        <w:spacing w:line="238" w:lineRule="auto"/>
        <w:ind w:left="260" w:right="820"/>
        <w:rPr>
          <w:sz w:val="20"/>
          <w:szCs w:val="20"/>
        </w:rPr>
      </w:pPr>
      <w:r>
        <w:rPr>
          <w:rFonts w:ascii="Calibri" w:eastAsia="Calibri" w:hAnsi="Calibri" w:cs="Calibri"/>
          <w:sz w:val="24"/>
          <w:szCs w:val="24"/>
        </w:rPr>
        <w:t>Sisto, Vicente (2012). Análisis del Discurso y Psicología: a veinte años de la revolución discursiva. Revista de Psicología, 21 (1), pp. 185-208.</w:t>
      </w:r>
    </w:p>
    <w:p w:rsidR="00F7366B" w:rsidRDefault="00F7366B">
      <w:pPr>
        <w:spacing w:line="300" w:lineRule="exact"/>
        <w:rPr>
          <w:sz w:val="20"/>
          <w:szCs w:val="20"/>
        </w:rPr>
      </w:pPr>
    </w:p>
    <w:p w:rsidR="00F7366B" w:rsidRDefault="00F8342D">
      <w:pPr>
        <w:spacing w:line="238" w:lineRule="auto"/>
        <w:ind w:left="260" w:right="400"/>
        <w:rPr>
          <w:sz w:val="20"/>
          <w:szCs w:val="20"/>
        </w:rPr>
      </w:pPr>
      <w:r>
        <w:rPr>
          <w:rFonts w:ascii="Calibri" w:eastAsia="Calibri" w:hAnsi="Calibri" w:cs="Calibri"/>
          <w:sz w:val="24"/>
          <w:szCs w:val="24"/>
        </w:rPr>
        <w:t>Antaki, C.; Billig, M.; Edwards, D.; Potter,J. (2003). El Análisis del discurso implica analizar: Crítica de seis atajos analíticos. Athenea Digital, 3. Disponible en http://antalya.uab.es/athenea/num3/antaki.pdf</w:t>
      </w:r>
    </w:p>
    <w:p w:rsidR="00F7366B" w:rsidRDefault="00F7366B">
      <w:pPr>
        <w:spacing w:line="299" w:lineRule="exact"/>
        <w:rPr>
          <w:sz w:val="20"/>
          <w:szCs w:val="20"/>
        </w:rPr>
      </w:pPr>
    </w:p>
    <w:p w:rsidR="00F7366B" w:rsidRDefault="00F8342D">
      <w:pPr>
        <w:ind w:left="260"/>
        <w:rPr>
          <w:sz w:val="20"/>
          <w:szCs w:val="20"/>
        </w:rPr>
      </w:pPr>
      <w:r w:rsidRPr="00F8342D">
        <w:rPr>
          <w:rFonts w:ascii="Calibri" w:eastAsia="Calibri" w:hAnsi="Calibri" w:cs="Calibri"/>
          <w:sz w:val="24"/>
          <w:szCs w:val="24"/>
          <w:lang w:val="en-US"/>
        </w:rPr>
        <w:t xml:space="preserve">Lawler, </w:t>
      </w:r>
      <w:proofErr w:type="spellStart"/>
      <w:r w:rsidRPr="00F8342D">
        <w:rPr>
          <w:rFonts w:ascii="Calibri" w:eastAsia="Calibri" w:hAnsi="Calibri" w:cs="Calibri"/>
          <w:sz w:val="24"/>
          <w:szCs w:val="24"/>
          <w:lang w:val="en-US"/>
        </w:rPr>
        <w:t>Steph</w:t>
      </w:r>
      <w:proofErr w:type="spellEnd"/>
      <w:r w:rsidRPr="00F8342D">
        <w:rPr>
          <w:rFonts w:ascii="Calibri" w:eastAsia="Calibri" w:hAnsi="Calibri" w:cs="Calibri"/>
          <w:sz w:val="24"/>
          <w:szCs w:val="24"/>
          <w:lang w:val="en-US"/>
        </w:rPr>
        <w:t xml:space="preserve"> (2008). Becoming ourselves: governing and/through identities. </w:t>
      </w:r>
      <w:r>
        <w:rPr>
          <w:rFonts w:ascii="Calibri" w:eastAsia="Calibri" w:hAnsi="Calibri" w:cs="Calibri"/>
          <w:sz w:val="24"/>
          <w:szCs w:val="24"/>
        </w:rPr>
        <w:t xml:space="preserve">En </w:t>
      </w:r>
      <w:proofErr w:type="spellStart"/>
      <w:r>
        <w:rPr>
          <w:rFonts w:ascii="Calibri" w:eastAsia="Calibri" w:hAnsi="Calibri" w:cs="Calibri"/>
          <w:sz w:val="24"/>
          <w:szCs w:val="24"/>
        </w:rPr>
        <w:t>Identity</w:t>
      </w:r>
      <w:proofErr w:type="spellEnd"/>
      <w:r>
        <w:rPr>
          <w:rFonts w:ascii="Calibri" w:eastAsia="Calibri" w:hAnsi="Calibri" w:cs="Calibri"/>
          <w:sz w:val="24"/>
          <w:szCs w:val="24"/>
        </w:rPr>
        <w:t>.</w:t>
      </w:r>
    </w:p>
    <w:p w:rsidR="00F7366B" w:rsidRDefault="00F8342D">
      <w:pPr>
        <w:spacing w:line="237" w:lineRule="auto"/>
        <w:ind w:left="260"/>
        <w:rPr>
          <w:sz w:val="20"/>
          <w:szCs w:val="20"/>
        </w:rPr>
      </w:pPr>
      <w:r>
        <w:rPr>
          <w:rFonts w:ascii="Calibri" w:eastAsia="Calibri" w:hAnsi="Calibri" w:cs="Calibri"/>
          <w:sz w:val="24"/>
          <w:szCs w:val="24"/>
        </w:rPr>
        <w:t>Sociological Perspectives. Cambridge: Polity Press.</w:t>
      </w:r>
    </w:p>
    <w:p w:rsidR="00F7366B" w:rsidRDefault="00F7366B">
      <w:pPr>
        <w:spacing w:line="293" w:lineRule="exact"/>
        <w:rPr>
          <w:sz w:val="20"/>
          <w:szCs w:val="20"/>
        </w:rPr>
      </w:pPr>
    </w:p>
    <w:p w:rsidR="00F7366B" w:rsidRDefault="00F8342D">
      <w:pPr>
        <w:jc w:val="center"/>
        <w:rPr>
          <w:sz w:val="20"/>
          <w:szCs w:val="20"/>
        </w:rPr>
      </w:pPr>
      <w:r>
        <w:rPr>
          <w:rFonts w:ascii="Calibri" w:eastAsia="Calibri" w:hAnsi="Calibri" w:cs="Calibri"/>
          <w:b/>
          <w:bCs/>
          <w:sz w:val="24"/>
          <w:szCs w:val="24"/>
        </w:rPr>
        <w:t>Tercera Unidad</w:t>
      </w:r>
    </w:p>
    <w:p w:rsidR="00F7366B" w:rsidRDefault="00F7366B">
      <w:pPr>
        <w:spacing w:line="302" w:lineRule="exact"/>
        <w:rPr>
          <w:sz w:val="20"/>
          <w:szCs w:val="20"/>
        </w:rPr>
      </w:pPr>
    </w:p>
    <w:p w:rsidR="00F7366B" w:rsidRDefault="00F8342D">
      <w:pPr>
        <w:spacing w:line="274" w:lineRule="auto"/>
        <w:ind w:left="260" w:right="660"/>
        <w:rPr>
          <w:sz w:val="20"/>
          <w:szCs w:val="20"/>
        </w:rPr>
      </w:pPr>
      <w:r>
        <w:rPr>
          <w:rFonts w:ascii="Calibri" w:eastAsia="Calibri" w:hAnsi="Calibri" w:cs="Calibri"/>
          <w:sz w:val="24"/>
          <w:szCs w:val="24"/>
        </w:rPr>
        <w:t>Montenegro, Marisela y Pujal, Joan (2003) Conocimiento Situado: Un Forcejeo entre el Relativismo Construccionista y la Necesidad de Fundamentar la Acción. Revista Interamericana de Psicología, 37 (2), pp. 295-307.</w:t>
      </w:r>
    </w:p>
    <w:p w:rsidR="00F7366B" w:rsidRDefault="00F7366B">
      <w:pPr>
        <w:spacing w:line="207" w:lineRule="exact"/>
        <w:rPr>
          <w:sz w:val="20"/>
          <w:szCs w:val="20"/>
        </w:rPr>
      </w:pPr>
    </w:p>
    <w:p w:rsidR="00F7366B" w:rsidRDefault="00F8342D">
      <w:pPr>
        <w:spacing w:line="238" w:lineRule="auto"/>
        <w:ind w:left="260" w:right="360"/>
        <w:rPr>
          <w:sz w:val="20"/>
          <w:szCs w:val="20"/>
        </w:rPr>
      </w:pPr>
      <w:r>
        <w:rPr>
          <w:rFonts w:ascii="Calibri" w:eastAsia="Calibri" w:hAnsi="Calibri" w:cs="Calibri"/>
          <w:sz w:val="24"/>
          <w:szCs w:val="24"/>
        </w:rPr>
        <w:t>Antar Martínez-Guzmán y Marisela Montenegro (2010). “Narrativas en torno al Trastorno de Identidad Sexual. De la transgénero a la producción de trans-conocimientos”. Prisma Social, 4.</w:t>
      </w:r>
    </w:p>
    <w:p w:rsidR="00F7366B" w:rsidRDefault="00F7366B">
      <w:pPr>
        <w:spacing w:line="299" w:lineRule="exact"/>
        <w:rPr>
          <w:sz w:val="20"/>
          <w:szCs w:val="20"/>
        </w:rPr>
      </w:pPr>
    </w:p>
    <w:p w:rsidR="00F7366B" w:rsidRDefault="00F8342D">
      <w:pPr>
        <w:spacing w:line="238" w:lineRule="auto"/>
        <w:ind w:left="260" w:right="1240"/>
        <w:rPr>
          <w:sz w:val="20"/>
          <w:szCs w:val="20"/>
        </w:rPr>
      </w:pPr>
      <w:proofErr w:type="spellStart"/>
      <w:r w:rsidRPr="00F8342D">
        <w:rPr>
          <w:rFonts w:ascii="Calibri" w:eastAsia="Calibri" w:hAnsi="Calibri" w:cs="Calibri"/>
          <w:sz w:val="24"/>
          <w:szCs w:val="24"/>
          <w:lang w:val="en-US"/>
        </w:rPr>
        <w:t>Marecek</w:t>
      </w:r>
      <w:proofErr w:type="spellEnd"/>
      <w:r w:rsidRPr="00F8342D">
        <w:rPr>
          <w:rFonts w:ascii="Calibri" w:eastAsia="Calibri" w:hAnsi="Calibri" w:cs="Calibri"/>
          <w:sz w:val="24"/>
          <w:szCs w:val="24"/>
          <w:lang w:val="en-US"/>
        </w:rPr>
        <w:t xml:space="preserve">, Jeanne (2016). Invited reflection: </w:t>
      </w:r>
      <w:proofErr w:type="spellStart"/>
      <w:r w:rsidRPr="00F8342D">
        <w:rPr>
          <w:rFonts w:ascii="Calibri" w:eastAsia="Calibri" w:hAnsi="Calibri" w:cs="Calibri"/>
          <w:sz w:val="24"/>
          <w:szCs w:val="24"/>
          <w:lang w:val="en-US"/>
        </w:rPr>
        <w:t>Intersectionality</w:t>
      </w:r>
      <w:proofErr w:type="spellEnd"/>
      <w:r w:rsidRPr="00F8342D">
        <w:rPr>
          <w:rFonts w:ascii="Calibri" w:eastAsia="Calibri" w:hAnsi="Calibri" w:cs="Calibri"/>
          <w:sz w:val="24"/>
          <w:szCs w:val="24"/>
          <w:lang w:val="en-US"/>
        </w:rPr>
        <w:t xml:space="preserve"> Theory and Feminist Psychology. </w:t>
      </w:r>
      <w:proofErr w:type="spellStart"/>
      <w:r>
        <w:rPr>
          <w:rFonts w:ascii="Calibri" w:eastAsia="Calibri" w:hAnsi="Calibri" w:cs="Calibri"/>
          <w:sz w:val="24"/>
          <w:szCs w:val="24"/>
        </w:rPr>
        <w:t>Psychology</w:t>
      </w:r>
      <w:proofErr w:type="spellEnd"/>
      <w:r>
        <w:rPr>
          <w:rFonts w:ascii="Calibri" w:eastAsia="Calibri" w:hAnsi="Calibri" w:cs="Calibri"/>
          <w:sz w:val="24"/>
          <w:szCs w:val="24"/>
        </w:rPr>
        <w:t xml:space="preserve"> of </w:t>
      </w:r>
      <w:proofErr w:type="spellStart"/>
      <w:r>
        <w:rPr>
          <w:rFonts w:ascii="Calibri" w:eastAsia="Calibri" w:hAnsi="Calibri" w:cs="Calibri"/>
          <w:sz w:val="24"/>
          <w:szCs w:val="24"/>
        </w:rPr>
        <w:t>Women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Quarterly</w:t>
      </w:r>
      <w:proofErr w:type="spellEnd"/>
      <w:r>
        <w:rPr>
          <w:rFonts w:ascii="Calibri" w:eastAsia="Calibri" w:hAnsi="Calibri" w:cs="Calibri"/>
          <w:sz w:val="24"/>
          <w:szCs w:val="24"/>
        </w:rPr>
        <w:t>, 40 (2), pp. 177-181.</w:t>
      </w:r>
    </w:p>
    <w:p w:rsidR="00F7366B" w:rsidRDefault="00F7366B">
      <w:pPr>
        <w:spacing w:line="294" w:lineRule="exact"/>
        <w:rPr>
          <w:sz w:val="20"/>
          <w:szCs w:val="20"/>
        </w:rPr>
      </w:pPr>
    </w:p>
    <w:p w:rsidR="00F7366B" w:rsidRDefault="00F8342D">
      <w:pPr>
        <w:ind w:left="260"/>
        <w:rPr>
          <w:sz w:val="20"/>
          <w:szCs w:val="20"/>
        </w:rPr>
      </w:pPr>
      <w:r>
        <w:rPr>
          <w:rFonts w:ascii="Calibri" w:eastAsia="Calibri" w:hAnsi="Calibri" w:cs="Calibri"/>
          <w:sz w:val="24"/>
          <w:szCs w:val="24"/>
        </w:rPr>
        <w:t>Vázquez, Félix (2005). Construyendo el pasado: la memoria como práctica social. N.</w:t>
      </w:r>
    </w:p>
    <w:p w:rsidR="00F7366B" w:rsidRDefault="00F7366B">
      <w:pPr>
        <w:spacing w:line="2" w:lineRule="exact"/>
        <w:rPr>
          <w:sz w:val="20"/>
          <w:szCs w:val="20"/>
        </w:rPr>
      </w:pPr>
    </w:p>
    <w:p w:rsidR="00F7366B" w:rsidRDefault="00F8342D">
      <w:pPr>
        <w:spacing w:line="239" w:lineRule="auto"/>
        <w:ind w:left="260" w:right="1080"/>
        <w:rPr>
          <w:sz w:val="20"/>
          <w:szCs w:val="20"/>
        </w:rPr>
      </w:pPr>
      <w:r>
        <w:rPr>
          <w:rFonts w:ascii="Calibri" w:eastAsia="Calibri" w:hAnsi="Calibri" w:cs="Calibri"/>
          <w:sz w:val="24"/>
          <w:szCs w:val="24"/>
        </w:rPr>
        <w:t>Portillo, M. Gaborit, y JM Cruz, (Comps.), Psicología social en la posguerra: teoría y aplicaciones desde El Salvador, 109-143.</w:t>
      </w:r>
    </w:p>
    <w:p w:rsidR="00F7366B" w:rsidRDefault="00F7366B">
      <w:pPr>
        <w:spacing w:line="200" w:lineRule="exact"/>
        <w:rPr>
          <w:sz w:val="20"/>
          <w:szCs w:val="20"/>
        </w:rPr>
      </w:pPr>
    </w:p>
    <w:p w:rsidR="00F7366B" w:rsidRDefault="00F7366B">
      <w:pPr>
        <w:spacing w:line="387" w:lineRule="exact"/>
        <w:rPr>
          <w:sz w:val="20"/>
          <w:szCs w:val="20"/>
        </w:rPr>
      </w:pPr>
    </w:p>
    <w:p w:rsidR="00F7366B" w:rsidRDefault="00F8342D">
      <w:pPr>
        <w:ind w:left="980"/>
        <w:rPr>
          <w:sz w:val="20"/>
          <w:szCs w:val="20"/>
        </w:rPr>
      </w:pPr>
      <w:r>
        <w:rPr>
          <w:rFonts w:ascii="Calibri" w:eastAsia="Calibri" w:hAnsi="Calibri" w:cs="Calibri"/>
          <w:b/>
          <w:bCs/>
          <w:sz w:val="24"/>
          <w:szCs w:val="24"/>
        </w:rPr>
        <w:t>Bibliografía complementaria</w:t>
      </w:r>
    </w:p>
    <w:p w:rsidR="00F7366B" w:rsidRDefault="00F7366B">
      <w:pPr>
        <w:spacing w:line="297" w:lineRule="exact"/>
        <w:rPr>
          <w:sz w:val="20"/>
          <w:szCs w:val="20"/>
        </w:rPr>
      </w:pPr>
    </w:p>
    <w:p w:rsidR="00F7366B" w:rsidRDefault="00F8342D">
      <w:pPr>
        <w:spacing w:line="239" w:lineRule="auto"/>
        <w:ind w:left="260" w:right="280"/>
        <w:rPr>
          <w:sz w:val="20"/>
          <w:szCs w:val="20"/>
        </w:rPr>
      </w:pPr>
      <w:r>
        <w:rPr>
          <w:rFonts w:ascii="Calibri" w:eastAsia="Calibri" w:hAnsi="Calibri" w:cs="Calibri"/>
          <w:sz w:val="24"/>
          <w:szCs w:val="24"/>
        </w:rPr>
        <w:t>Cabruja, Teresa (2008): ¿Quién teme a la psicología feminista? Reflexiones sobre las construcciones discursivas de profesores, estudiantes y profesionales de psicología para que cuando el género entre en el aula, el feminismo no salga por la ventana. Pro-Posições, v. 19, n. 2 (56).</w:t>
      </w:r>
    </w:p>
    <w:p w:rsidR="00F7366B" w:rsidRDefault="00F7366B">
      <w:pPr>
        <w:spacing w:line="299" w:lineRule="exact"/>
        <w:rPr>
          <w:sz w:val="20"/>
          <w:szCs w:val="20"/>
        </w:rPr>
      </w:pPr>
    </w:p>
    <w:p w:rsidR="00F7366B" w:rsidRDefault="00F8342D">
      <w:pPr>
        <w:spacing w:line="239" w:lineRule="auto"/>
        <w:ind w:left="260" w:right="660"/>
        <w:rPr>
          <w:sz w:val="20"/>
          <w:szCs w:val="20"/>
        </w:rPr>
      </w:pPr>
      <w:r>
        <w:rPr>
          <w:rFonts w:ascii="Calibri" w:eastAsia="Calibri" w:hAnsi="Calibri" w:cs="Calibri"/>
          <w:sz w:val="24"/>
          <w:szCs w:val="24"/>
        </w:rPr>
        <w:t>Cabruja, T., Íñiguez, L., &amp; Vázquez, F. (2000). Cómo construimos el mundo: relativismo, espacios de relación y narratividad. Anàlisi, 25, 61-94.</w:t>
      </w:r>
    </w:p>
    <w:p w:rsidR="00F7366B" w:rsidRDefault="00F7366B">
      <w:pPr>
        <w:spacing w:line="336" w:lineRule="exact"/>
        <w:rPr>
          <w:sz w:val="20"/>
          <w:szCs w:val="20"/>
        </w:rPr>
      </w:pPr>
    </w:p>
    <w:p w:rsidR="00F7366B" w:rsidRDefault="00F8342D">
      <w:pPr>
        <w:ind w:right="260"/>
        <w:jc w:val="right"/>
        <w:rPr>
          <w:sz w:val="20"/>
          <w:szCs w:val="20"/>
        </w:rPr>
      </w:pPr>
      <w:r>
        <w:rPr>
          <w:rFonts w:ascii="Calibri" w:eastAsia="Calibri" w:hAnsi="Calibri" w:cs="Calibri"/>
        </w:rPr>
        <w:t>7</w:t>
      </w:r>
    </w:p>
    <w:p w:rsidR="00F7366B" w:rsidRDefault="00F7366B">
      <w:pPr>
        <w:sectPr w:rsidR="00F7366B">
          <w:pgSz w:w="12240" w:h="15840"/>
          <w:pgMar w:top="1440" w:right="1440" w:bottom="892" w:left="1440" w:header="0" w:footer="0" w:gutter="0"/>
          <w:cols w:space="720" w:equalWidth="0">
            <w:col w:w="9360"/>
          </w:cols>
        </w:sectPr>
      </w:pPr>
    </w:p>
    <w:p w:rsidR="00F7366B" w:rsidRDefault="00F8342D">
      <w:pPr>
        <w:spacing w:line="200" w:lineRule="exact"/>
        <w:rPr>
          <w:sz w:val="20"/>
          <w:szCs w:val="20"/>
        </w:rPr>
      </w:pPr>
      <w:bookmarkStart w:id="8" w:name="page8"/>
      <w:bookmarkEnd w:id="8"/>
      <w:r>
        <w:rPr>
          <w:noProof/>
          <w:sz w:val="20"/>
          <w:szCs w:val="20"/>
          <w:lang w:val="es-CL" w:eastAsia="es-CL"/>
        </w:rPr>
        <w:lastRenderedPageBreak/>
        <w:drawing>
          <wp:anchor distT="0" distB="0" distL="114300" distR="114300" simplePos="0" relativeHeight="251665408" behindDoc="1" locked="0" layoutInCell="0" allowOverlap="1">
            <wp:simplePos x="0" y="0"/>
            <wp:positionH relativeFrom="page">
              <wp:posOffset>1007110</wp:posOffset>
            </wp:positionH>
            <wp:positionV relativeFrom="page">
              <wp:posOffset>450850</wp:posOffset>
            </wp:positionV>
            <wp:extent cx="5758815" cy="8334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5758815" cy="8334375"/>
                    </a:xfrm>
                    <a:prstGeom prst="rect">
                      <a:avLst/>
                    </a:prstGeom>
                    <a:noFill/>
                  </pic:spPr>
                </pic:pic>
              </a:graphicData>
            </a:graphic>
          </wp:anchor>
        </w:drawing>
      </w:r>
    </w:p>
    <w:p w:rsidR="00F7366B" w:rsidRDefault="00F7366B">
      <w:pPr>
        <w:spacing w:line="382" w:lineRule="exact"/>
        <w:rPr>
          <w:sz w:val="20"/>
          <w:szCs w:val="20"/>
        </w:rPr>
      </w:pPr>
    </w:p>
    <w:p w:rsidR="00F7366B" w:rsidRDefault="00F8342D">
      <w:pPr>
        <w:spacing w:line="254" w:lineRule="auto"/>
        <w:ind w:left="260" w:right="740"/>
        <w:rPr>
          <w:sz w:val="20"/>
          <w:szCs w:val="20"/>
        </w:rPr>
      </w:pPr>
      <w:r>
        <w:rPr>
          <w:rFonts w:ascii="Calibri" w:eastAsia="Calibri" w:hAnsi="Calibri" w:cs="Calibri"/>
          <w:sz w:val="23"/>
          <w:szCs w:val="23"/>
        </w:rPr>
        <w:t>Collier, Gary; Minton, Henry y Reynolds, Graham (1996). Escenarios y tendencias de la Psicología Social. Madrid: Editorial Tecnos. Cap. 11. Interacción Simbólica, pp.396-431</w:t>
      </w:r>
    </w:p>
    <w:p w:rsidR="00F7366B" w:rsidRDefault="00F7366B">
      <w:pPr>
        <w:spacing w:line="277" w:lineRule="exact"/>
        <w:rPr>
          <w:sz w:val="20"/>
          <w:szCs w:val="20"/>
        </w:rPr>
      </w:pPr>
    </w:p>
    <w:p w:rsidR="00F7366B" w:rsidRDefault="00F8342D">
      <w:pPr>
        <w:ind w:left="260"/>
        <w:rPr>
          <w:sz w:val="20"/>
          <w:szCs w:val="20"/>
        </w:rPr>
      </w:pPr>
      <w:r>
        <w:rPr>
          <w:rFonts w:ascii="Calibri" w:eastAsia="Calibri" w:hAnsi="Calibri" w:cs="Calibri"/>
          <w:sz w:val="24"/>
          <w:szCs w:val="24"/>
        </w:rPr>
        <w:t>Foucault (1977) Historia de la Sexualidad I. La voluntad de saber. México DF: Editorial Siglo</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XXI. Capítulo IV: El dispositivo de sexualidad, subcapítulos 1. La apuesta y 2. Método.</w:t>
      </w:r>
    </w:p>
    <w:p w:rsidR="00F7366B" w:rsidRDefault="00F7366B">
      <w:pPr>
        <w:spacing w:line="297" w:lineRule="exact"/>
        <w:rPr>
          <w:sz w:val="20"/>
          <w:szCs w:val="20"/>
        </w:rPr>
      </w:pPr>
    </w:p>
    <w:p w:rsidR="00F7366B" w:rsidRDefault="00F8342D">
      <w:pPr>
        <w:spacing w:line="258" w:lineRule="auto"/>
        <w:ind w:left="260" w:right="440"/>
        <w:rPr>
          <w:sz w:val="20"/>
          <w:szCs w:val="20"/>
        </w:rPr>
      </w:pPr>
      <w:r>
        <w:rPr>
          <w:rFonts w:ascii="Calibri" w:eastAsia="Calibri" w:hAnsi="Calibri" w:cs="Calibri"/>
          <w:sz w:val="23"/>
          <w:szCs w:val="23"/>
        </w:rPr>
        <w:t>Gergen, Kenneth (1996). La crisis de la representación y la emergencia de la construcción social. En Gergen, K, Realidades y Relaciones. Cap 2. pp. 29-57. Barcelona: Paidos.</w:t>
      </w:r>
    </w:p>
    <w:p w:rsidR="00F7366B" w:rsidRDefault="00F7366B">
      <w:pPr>
        <w:spacing w:line="276" w:lineRule="exact"/>
        <w:rPr>
          <w:sz w:val="20"/>
          <w:szCs w:val="20"/>
        </w:rPr>
      </w:pPr>
    </w:p>
    <w:p w:rsidR="00F7366B" w:rsidRDefault="00F8342D">
      <w:pPr>
        <w:spacing w:line="238" w:lineRule="auto"/>
        <w:ind w:left="260" w:right="1340"/>
        <w:rPr>
          <w:sz w:val="20"/>
          <w:szCs w:val="20"/>
        </w:rPr>
      </w:pPr>
      <w:r>
        <w:rPr>
          <w:rFonts w:ascii="Calibri" w:eastAsia="Calibri" w:hAnsi="Calibri" w:cs="Calibri"/>
          <w:sz w:val="24"/>
          <w:szCs w:val="24"/>
        </w:rPr>
        <w:t>Gergen, K. (1996). El construccionismo en tela de juicio. Gergen, K. Realidades y relaciones. Aproximaciones a la construcción social, 89-123.</w:t>
      </w:r>
    </w:p>
    <w:p w:rsidR="00F7366B" w:rsidRDefault="00F7366B">
      <w:pPr>
        <w:spacing w:line="299" w:lineRule="exact"/>
        <w:rPr>
          <w:sz w:val="20"/>
          <w:szCs w:val="20"/>
        </w:rPr>
      </w:pPr>
    </w:p>
    <w:p w:rsidR="00F7366B" w:rsidRDefault="00F8342D">
      <w:pPr>
        <w:spacing w:line="238" w:lineRule="auto"/>
        <w:ind w:left="260" w:right="420"/>
        <w:rPr>
          <w:sz w:val="20"/>
          <w:szCs w:val="20"/>
        </w:rPr>
      </w:pPr>
      <w:r>
        <w:rPr>
          <w:rFonts w:ascii="Calibri" w:eastAsia="Calibri" w:hAnsi="Calibri" w:cs="Calibri"/>
          <w:sz w:val="24"/>
          <w:szCs w:val="24"/>
        </w:rPr>
        <w:t>Gil Rodríguez, Eva Patricia (2002). ¿Por qué le llaman género cuando quieren decir sexo?: Una aproximación a la teoría de la performatividad de Judith Butler. Athenea Digital, 2, 30-41. Disponible en http://blues.uab.es/athenea/num2/Gil.pdf</w:t>
      </w:r>
    </w:p>
    <w:p w:rsidR="00F7366B" w:rsidRDefault="00F7366B">
      <w:pPr>
        <w:spacing w:line="298" w:lineRule="exact"/>
        <w:rPr>
          <w:sz w:val="20"/>
          <w:szCs w:val="20"/>
        </w:rPr>
      </w:pPr>
    </w:p>
    <w:p w:rsidR="00F7366B" w:rsidRDefault="00F8342D">
      <w:pPr>
        <w:spacing w:line="238" w:lineRule="auto"/>
        <w:ind w:left="260" w:right="420"/>
        <w:rPr>
          <w:sz w:val="20"/>
          <w:szCs w:val="20"/>
        </w:rPr>
      </w:pPr>
      <w:r>
        <w:rPr>
          <w:rFonts w:ascii="Calibri" w:eastAsia="Calibri" w:hAnsi="Calibri" w:cs="Calibri"/>
          <w:sz w:val="24"/>
          <w:szCs w:val="24"/>
        </w:rPr>
        <w:t>Haraway, Donna (1995). Conocimientos situados: la cuestión científica en el feminismo y el privilegio de la perspectiva parcial, pp. 313-346. En Ciencia, cyborgs y mujeres. La reinvención de la naturaleza. Madrid: Ediciones Cátedra.</w:t>
      </w:r>
    </w:p>
    <w:p w:rsidR="00F7366B" w:rsidRDefault="00F7366B">
      <w:pPr>
        <w:spacing w:line="299" w:lineRule="exact"/>
        <w:rPr>
          <w:sz w:val="20"/>
          <w:szCs w:val="20"/>
        </w:rPr>
      </w:pPr>
    </w:p>
    <w:p w:rsidR="00F7366B" w:rsidRDefault="00F8342D">
      <w:pPr>
        <w:ind w:left="260"/>
        <w:rPr>
          <w:sz w:val="20"/>
          <w:szCs w:val="20"/>
        </w:rPr>
      </w:pPr>
      <w:r>
        <w:rPr>
          <w:rFonts w:ascii="Calibri" w:eastAsia="Calibri" w:hAnsi="Calibri" w:cs="Calibri"/>
          <w:sz w:val="24"/>
          <w:szCs w:val="24"/>
        </w:rPr>
        <w:t>Ibáñez, Tomás (2014). Foucault o la ética y la práctica de la libertad. Dinamitar espejismos</w:t>
      </w:r>
    </w:p>
    <w:p w:rsidR="00F7366B" w:rsidRDefault="00F7366B">
      <w:pPr>
        <w:spacing w:line="2" w:lineRule="exact"/>
        <w:rPr>
          <w:sz w:val="20"/>
          <w:szCs w:val="20"/>
        </w:rPr>
      </w:pPr>
    </w:p>
    <w:p w:rsidR="00F7366B" w:rsidRDefault="00F8342D">
      <w:pPr>
        <w:numPr>
          <w:ilvl w:val="0"/>
          <w:numId w:val="9"/>
        </w:numPr>
        <w:tabs>
          <w:tab w:val="left" w:pos="424"/>
        </w:tabs>
        <w:spacing w:line="258" w:lineRule="auto"/>
        <w:ind w:left="260" w:right="3860" w:firstLine="1"/>
        <w:jc w:val="both"/>
        <w:rPr>
          <w:rFonts w:ascii="Calibri" w:eastAsia="Calibri" w:hAnsi="Calibri" w:cs="Calibri"/>
          <w:sz w:val="23"/>
          <w:szCs w:val="23"/>
        </w:rPr>
      </w:pPr>
      <w:r>
        <w:rPr>
          <w:rFonts w:ascii="Calibri" w:eastAsia="Calibri" w:hAnsi="Calibri" w:cs="Calibri"/>
          <w:sz w:val="23"/>
          <w:szCs w:val="23"/>
        </w:rPr>
        <w:t>propiciar insumisiones. Athenea Digital, 14(2), 3-19. http://dx.doi.org/10.5565/rev/athenead/v14n2.1390.</w:t>
      </w:r>
    </w:p>
    <w:p w:rsidR="00F7366B" w:rsidRDefault="00F7366B">
      <w:pPr>
        <w:spacing w:line="277" w:lineRule="exact"/>
        <w:rPr>
          <w:sz w:val="20"/>
          <w:szCs w:val="20"/>
        </w:rPr>
      </w:pPr>
    </w:p>
    <w:p w:rsidR="00F7366B" w:rsidRDefault="00F8342D">
      <w:pPr>
        <w:spacing w:line="236" w:lineRule="auto"/>
        <w:ind w:left="260" w:right="1040"/>
        <w:rPr>
          <w:sz w:val="20"/>
          <w:szCs w:val="20"/>
        </w:rPr>
      </w:pPr>
      <w:r>
        <w:rPr>
          <w:rFonts w:ascii="Calibri" w:eastAsia="Calibri" w:hAnsi="Calibri" w:cs="Calibri"/>
          <w:sz w:val="24"/>
          <w:szCs w:val="24"/>
        </w:rPr>
        <w:t>Ibáñez, T. (2004). La construcción social del socioconstruccionismo: retrospectiva y perspectivas. Política y Sociedad, vol. 40, pp. 155- 160.</w:t>
      </w:r>
    </w:p>
    <w:p w:rsidR="00F7366B" w:rsidRDefault="00F7366B">
      <w:pPr>
        <w:spacing w:line="304" w:lineRule="exact"/>
        <w:rPr>
          <w:sz w:val="20"/>
          <w:szCs w:val="20"/>
        </w:rPr>
      </w:pPr>
    </w:p>
    <w:p w:rsidR="00F7366B" w:rsidRDefault="00F8342D">
      <w:pPr>
        <w:spacing w:line="237" w:lineRule="auto"/>
        <w:ind w:left="260" w:right="500"/>
        <w:rPr>
          <w:sz w:val="20"/>
          <w:szCs w:val="20"/>
        </w:rPr>
      </w:pPr>
      <w:r>
        <w:rPr>
          <w:rFonts w:ascii="Calibri" w:eastAsia="Calibri" w:hAnsi="Calibri" w:cs="Calibri"/>
          <w:sz w:val="24"/>
          <w:szCs w:val="24"/>
        </w:rPr>
        <w:t>Ibañez, Tomás (2003). El giro lingüistico. En Iñiguez, L. Análisis de Discurso. Manual para las ciencias sociales. Cap. 1. Barcelona: Editorial UOC.</w:t>
      </w:r>
    </w:p>
    <w:p w:rsidR="00F7366B" w:rsidRDefault="00F7366B">
      <w:pPr>
        <w:spacing w:line="297" w:lineRule="exact"/>
        <w:rPr>
          <w:sz w:val="20"/>
          <w:szCs w:val="20"/>
        </w:rPr>
      </w:pPr>
    </w:p>
    <w:p w:rsidR="00F7366B" w:rsidRDefault="00F8342D">
      <w:pPr>
        <w:ind w:left="260"/>
        <w:rPr>
          <w:sz w:val="20"/>
          <w:szCs w:val="20"/>
        </w:rPr>
      </w:pPr>
      <w:r>
        <w:rPr>
          <w:rFonts w:ascii="Calibri" w:eastAsia="Calibri" w:hAnsi="Calibri" w:cs="Calibri"/>
          <w:sz w:val="24"/>
          <w:szCs w:val="24"/>
        </w:rPr>
        <w:t xml:space="preserve">Ibáñez, T. (1990). </w:t>
      </w:r>
      <w:r>
        <w:rPr>
          <w:rFonts w:ascii="Calibri" w:eastAsia="Calibri" w:hAnsi="Calibri" w:cs="Calibri"/>
          <w:i/>
          <w:iCs/>
          <w:sz w:val="24"/>
          <w:szCs w:val="24"/>
        </w:rPr>
        <w:t>Aproximaciones a la psicología social</w:t>
      </w:r>
      <w:r>
        <w:rPr>
          <w:rFonts w:ascii="Calibri" w:eastAsia="Calibri" w:hAnsi="Calibri" w:cs="Calibri"/>
          <w:sz w:val="24"/>
          <w:szCs w:val="24"/>
        </w:rPr>
        <w:t>. Barcelona: Sendai.</w:t>
      </w:r>
    </w:p>
    <w:p w:rsidR="00F7366B" w:rsidRDefault="00F7366B">
      <w:pPr>
        <w:spacing w:line="167" w:lineRule="exact"/>
        <w:rPr>
          <w:sz w:val="20"/>
          <w:szCs w:val="20"/>
        </w:rPr>
      </w:pPr>
    </w:p>
    <w:p w:rsidR="00F7366B" w:rsidRDefault="00F8342D">
      <w:pPr>
        <w:spacing w:line="275" w:lineRule="auto"/>
        <w:ind w:left="820" w:right="260" w:hanging="564"/>
        <w:rPr>
          <w:sz w:val="20"/>
          <w:szCs w:val="20"/>
        </w:rPr>
      </w:pPr>
      <w:r>
        <w:rPr>
          <w:rFonts w:ascii="Calibri" w:eastAsia="Calibri" w:hAnsi="Calibri" w:cs="Calibri"/>
          <w:sz w:val="24"/>
          <w:szCs w:val="24"/>
        </w:rPr>
        <w:t>Ibáñez,</w:t>
      </w:r>
      <w:r>
        <w:rPr>
          <w:sz w:val="20"/>
          <w:szCs w:val="20"/>
        </w:rPr>
        <w:t xml:space="preserve"> </w:t>
      </w:r>
      <w:r>
        <w:rPr>
          <w:rFonts w:ascii="Calibri" w:eastAsia="Calibri" w:hAnsi="Calibri" w:cs="Calibri"/>
          <w:sz w:val="24"/>
          <w:szCs w:val="24"/>
        </w:rPr>
        <w:t xml:space="preserve">T. (1994). </w:t>
      </w:r>
      <w:r>
        <w:rPr>
          <w:rFonts w:ascii="Calibri" w:eastAsia="Calibri" w:hAnsi="Calibri" w:cs="Calibri"/>
          <w:i/>
          <w:iCs/>
          <w:sz w:val="24"/>
          <w:szCs w:val="24"/>
        </w:rPr>
        <w:t>Psicología Social Construccionista.</w:t>
      </w:r>
      <w:r>
        <w:rPr>
          <w:rFonts w:ascii="Calibri" w:eastAsia="Calibri" w:hAnsi="Calibri" w:cs="Calibri"/>
          <w:sz w:val="24"/>
          <w:szCs w:val="24"/>
        </w:rPr>
        <w:t xml:space="preserve"> Guadalajara: Dirección de Publicaciones, Universidad de Guadalajara, 1994.</w:t>
      </w:r>
    </w:p>
    <w:p w:rsidR="00F7366B" w:rsidRDefault="00F7366B">
      <w:pPr>
        <w:spacing w:line="124" w:lineRule="exact"/>
        <w:rPr>
          <w:sz w:val="20"/>
          <w:szCs w:val="20"/>
        </w:rPr>
      </w:pPr>
    </w:p>
    <w:p w:rsidR="00F7366B" w:rsidRDefault="00F8342D">
      <w:pPr>
        <w:spacing w:line="238" w:lineRule="auto"/>
        <w:ind w:left="260" w:right="420"/>
        <w:rPr>
          <w:rFonts w:ascii="Calibri" w:eastAsia="Calibri" w:hAnsi="Calibri" w:cs="Calibri"/>
          <w:color w:val="0563C1"/>
          <w:sz w:val="24"/>
          <w:szCs w:val="24"/>
          <w:u w:val="single"/>
        </w:rPr>
      </w:pPr>
      <w:r>
        <w:rPr>
          <w:rFonts w:ascii="Calibri" w:eastAsia="Calibri" w:hAnsi="Calibri" w:cs="Calibri"/>
          <w:sz w:val="24"/>
          <w:szCs w:val="24"/>
        </w:rPr>
        <w:t xml:space="preserve">Íñiguez, L. (2005). Nuevos debates, nuevas ideas y nuevas prácticas en la psicología social de la era ‘post-construccionista’. Athenea Digital, 8, Disponible en </w:t>
      </w:r>
      <w:hyperlink r:id="rId17">
        <w:r>
          <w:rPr>
            <w:rFonts w:ascii="Calibri" w:eastAsia="Calibri" w:hAnsi="Calibri" w:cs="Calibri"/>
            <w:color w:val="0563C1"/>
            <w:sz w:val="24"/>
            <w:szCs w:val="24"/>
            <w:u w:val="single"/>
          </w:rPr>
          <w:t>http://antalya.uab.es/athenea/num8/siniguez.pdf</w:t>
        </w:r>
      </w:hyperlink>
    </w:p>
    <w:p w:rsidR="00F7366B" w:rsidRDefault="00F7366B">
      <w:pPr>
        <w:spacing w:line="294" w:lineRule="exact"/>
        <w:rPr>
          <w:sz w:val="20"/>
          <w:szCs w:val="20"/>
        </w:rPr>
      </w:pPr>
    </w:p>
    <w:p w:rsidR="00F7366B" w:rsidRDefault="00F8342D">
      <w:pPr>
        <w:ind w:left="260"/>
        <w:rPr>
          <w:sz w:val="20"/>
          <w:szCs w:val="20"/>
        </w:rPr>
      </w:pPr>
      <w:proofErr w:type="spellStart"/>
      <w:r w:rsidRPr="00F8342D">
        <w:rPr>
          <w:rFonts w:ascii="Calibri" w:eastAsia="Calibri" w:hAnsi="Calibri" w:cs="Calibri"/>
          <w:sz w:val="24"/>
          <w:szCs w:val="24"/>
          <w:lang w:val="en-US"/>
        </w:rPr>
        <w:t>Kitzinger</w:t>
      </w:r>
      <w:proofErr w:type="spellEnd"/>
      <w:r w:rsidRPr="00F8342D">
        <w:rPr>
          <w:rFonts w:ascii="Calibri" w:eastAsia="Calibri" w:hAnsi="Calibri" w:cs="Calibri"/>
          <w:sz w:val="24"/>
          <w:szCs w:val="24"/>
          <w:lang w:val="en-US"/>
        </w:rPr>
        <w:t xml:space="preserve">, Celia (1987). The social construction of lesbianism. </w:t>
      </w:r>
      <w:r>
        <w:rPr>
          <w:rFonts w:ascii="Calibri" w:eastAsia="Calibri" w:hAnsi="Calibri" w:cs="Calibri"/>
          <w:sz w:val="24"/>
          <w:szCs w:val="24"/>
        </w:rPr>
        <w:t xml:space="preserve">Londres: </w:t>
      </w:r>
      <w:proofErr w:type="spellStart"/>
      <w:r>
        <w:rPr>
          <w:rFonts w:ascii="Calibri" w:eastAsia="Calibri" w:hAnsi="Calibri" w:cs="Calibri"/>
          <w:sz w:val="24"/>
          <w:szCs w:val="24"/>
        </w:rPr>
        <w:t>Sage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publications</w:t>
      </w:r>
      <w:proofErr w:type="spellEnd"/>
      <w:r>
        <w:rPr>
          <w:rFonts w:ascii="Calibri" w:eastAsia="Calibri" w:hAnsi="Calibri" w:cs="Calibri"/>
          <w:sz w:val="24"/>
          <w:szCs w:val="24"/>
        </w:rPr>
        <w:t>.</w:t>
      </w:r>
    </w:p>
    <w:p w:rsidR="00F7366B" w:rsidRDefault="00F7366B">
      <w:pPr>
        <w:spacing w:line="200" w:lineRule="exact"/>
        <w:rPr>
          <w:sz w:val="20"/>
          <w:szCs w:val="20"/>
        </w:rPr>
      </w:pPr>
    </w:p>
    <w:p w:rsidR="00F7366B" w:rsidRDefault="00F7366B">
      <w:pPr>
        <w:spacing w:line="391" w:lineRule="exact"/>
        <w:rPr>
          <w:sz w:val="20"/>
          <w:szCs w:val="20"/>
        </w:rPr>
      </w:pPr>
    </w:p>
    <w:p w:rsidR="00F7366B" w:rsidRDefault="00F8342D">
      <w:pPr>
        <w:ind w:right="260"/>
        <w:jc w:val="right"/>
        <w:rPr>
          <w:sz w:val="20"/>
          <w:szCs w:val="20"/>
        </w:rPr>
      </w:pPr>
      <w:r>
        <w:rPr>
          <w:rFonts w:ascii="Calibri" w:eastAsia="Calibri" w:hAnsi="Calibri" w:cs="Calibri"/>
        </w:rPr>
        <w:t>8</w:t>
      </w:r>
    </w:p>
    <w:p w:rsidR="00F7366B" w:rsidRDefault="00F7366B">
      <w:pPr>
        <w:sectPr w:rsidR="00F7366B">
          <w:pgSz w:w="12240" w:h="15840"/>
          <w:pgMar w:top="1440" w:right="1440" w:bottom="892" w:left="1440" w:header="0" w:footer="0" w:gutter="0"/>
          <w:cols w:space="720" w:equalWidth="0">
            <w:col w:w="9360"/>
          </w:cols>
        </w:sectPr>
      </w:pPr>
    </w:p>
    <w:p w:rsidR="00F7366B" w:rsidRDefault="00F8342D">
      <w:pPr>
        <w:spacing w:line="200" w:lineRule="exact"/>
        <w:rPr>
          <w:sz w:val="20"/>
          <w:szCs w:val="20"/>
        </w:rPr>
      </w:pPr>
      <w:bookmarkStart w:id="9" w:name="page9"/>
      <w:bookmarkEnd w:id="9"/>
      <w:r>
        <w:rPr>
          <w:noProof/>
          <w:sz w:val="20"/>
          <w:szCs w:val="20"/>
          <w:lang w:val="es-CL" w:eastAsia="es-CL"/>
        </w:rPr>
        <w:lastRenderedPageBreak/>
        <w:drawing>
          <wp:anchor distT="0" distB="0" distL="114300" distR="114300" simplePos="0" relativeHeight="251666432" behindDoc="1" locked="0" layoutInCell="0" allowOverlap="1">
            <wp:simplePos x="0" y="0"/>
            <wp:positionH relativeFrom="page">
              <wp:posOffset>1007110</wp:posOffset>
            </wp:positionH>
            <wp:positionV relativeFrom="page">
              <wp:posOffset>450850</wp:posOffset>
            </wp:positionV>
            <wp:extent cx="5758815" cy="84861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5758815" cy="8486140"/>
                    </a:xfrm>
                    <a:prstGeom prst="rect">
                      <a:avLst/>
                    </a:prstGeom>
                    <a:noFill/>
                  </pic:spPr>
                </pic:pic>
              </a:graphicData>
            </a:graphic>
          </wp:anchor>
        </w:drawing>
      </w:r>
    </w:p>
    <w:p w:rsidR="00F7366B" w:rsidRDefault="00F7366B">
      <w:pPr>
        <w:spacing w:line="382" w:lineRule="exact"/>
        <w:rPr>
          <w:sz w:val="20"/>
          <w:szCs w:val="20"/>
        </w:rPr>
      </w:pPr>
    </w:p>
    <w:p w:rsidR="00F7366B" w:rsidRDefault="00F8342D">
      <w:pPr>
        <w:spacing w:line="237" w:lineRule="auto"/>
        <w:ind w:left="260" w:right="580"/>
        <w:rPr>
          <w:sz w:val="20"/>
          <w:szCs w:val="20"/>
        </w:rPr>
      </w:pPr>
      <w:r>
        <w:rPr>
          <w:rFonts w:ascii="Calibri" w:eastAsia="Calibri" w:hAnsi="Calibri" w:cs="Calibri"/>
          <w:sz w:val="24"/>
          <w:szCs w:val="24"/>
        </w:rPr>
        <w:t>Lara, Alí y Enciso Domínguez, Giazú (2013). El Giro Afectivo. Athenea Digital, 13(3), 101-119. http://dx.doi.org/10.5565/rev/athenead/v13n3.1060</w:t>
      </w:r>
    </w:p>
    <w:p w:rsidR="00F7366B" w:rsidRDefault="00F7366B">
      <w:pPr>
        <w:spacing w:line="292" w:lineRule="exact"/>
        <w:rPr>
          <w:sz w:val="20"/>
          <w:szCs w:val="20"/>
        </w:rPr>
      </w:pPr>
    </w:p>
    <w:p w:rsidR="00F7366B" w:rsidRDefault="00F8342D">
      <w:pPr>
        <w:ind w:left="260"/>
        <w:rPr>
          <w:sz w:val="20"/>
          <w:szCs w:val="20"/>
        </w:rPr>
      </w:pPr>
      <w:r w:rsidRPr="00F8342D">
        <w:rPr>
          <w:rFonts w:ascii="Calibri" w:eastAsia="Calibri" w:hAnsi="Calibri" w:cs="Calibri"/>
          <w:sz w:val="24"/>
          <w:szCs w:val="24"/>
          <w:lang w:val="en-US"/>
        </w:rPr>
        <w:t xml:space="preserve">Lawler, </w:t>
      </w:r>
      <w:proofErr w:type="spellStart"/>
      <w:r w:rsidRPr="00F8342D">
        <w:rPr>
          <w:rFonts w:ascii="Calibri" w:eastAsia="Calibri" w:hAnsi="Calibri" w:cs="Calibri"/>
          <w:sz w:val="24"/>
          <w:szCs w:val="24"/>
          <w:lang w:val="en-US"/>
        </w:rPr>
        <w:t>Steph</w:t>
      </w:r>
      <w:proofErr w:type="spellEnd"/>
      <w:r w:rsidRPr="00F8342D">
        <w:rPr>
          <w:rFonts w:ascii="Calibri" w:eastAsia="Calibri" w:hAnsi="Calibri" w:cs="Calibri"/>
          <w:sz w:val="24"/>
          <w:szCs w:val="24"/>
          <w:lang w:val="en-US"/>
        </w:rPr>
        <w:t xml:space="preserve"> (2008). Becoming ourselves: governing and/through identities. </w:t>
      </w:r>
      <w:r>
        <w:rPr>
          <w:rFonts w:ascii="Calibri" w:eastAsia="Calibri" w:hAnsi="Calibri" w:cs="Calibri"/>
          <w:sz w:val="24"/>
          <w:szCs w:val="24"/>
        </w:rPr>
        <w:t xml:space="preserve">En </w:t>
      </w:r>
      <w:proofErr w:type="spellStart"/>
      <w:r>
        <w:rPr>
          <w:rFonts w:ascii="Calibri" w:eastAsia="Calibri" w:hAnsi="Calibri" w:cs="Calibri"/>
          <w:sz w:val="24"/>
          <w:szCs w:val="24"/>
        </w:rPr>
        <w:t>Identity</w:t>
      </w:r>
      <w:proofErr w:type="spellEnd"/>
      <w:r>
        <w:rPr>
          <w:rFonts w:ascii="Calibri" w:eastAsia="Calibri" w:hAnsi="Calibri" w:cs="Calibri"/>
          <w:sz w:val="24"/>
          <w:szCs w:val="24"/>
        </w:rPr>
        <w:t>.</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Sociological Perspectives. Cambridge: Polity Press.</w:t>
      </w:r>
    </w:p>
    <w:p w:rsidR="00F7366B" w:rsidRDefault="00F7366B">
      <w:pPr>
        <w:spacing w:line="293" w:lineRule="exact"/>
        <w:rPr>
          <w:sz w:val="20"/>
          <w:szCs w:val="20"/>
        </w:rPr>
      </w:pPr>
    </w:p>
    <w:p w:rsidR="00F7366B" w:rsidRDefault="00F8342D">
      <w:pPr>
        <w:ind w:left="260"/>
        <w:rPr>
          <w:sz w:val="20"/>
          <w:szCs w:val="20"/>
        </w:rPr>
      </w:pPr>
      <w:r>
        <w:rPr>
          <w:rFonts w:ascii="Calibri" w:eastAsia="Calibri" w:hAnsi="Calibri" w:cs="Calibri"/>
          <w:sz w:val="24"/>
          <w:szCs w:val="24"/>
        </w:rPr>
        <w:t>Montenegro Martínez, Marisela; Galaz Valderrama, Caterine; Yufra, Laura y Montenegro</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Quitana, Karla (2011). Dinámicas de subjetivación y diferenciación en servicios sociales</w:t>
      </w:r>
    </w:p>
    <w:p w:rsidR="00F7366B" w:rsidRDefault="00F8342D">
      <w:pPr>
        <w:spacing w:line="237" w:lineRule="auto"/>
        <w:ind w:left="260"/>
        <w:rPr>
          <w:sz w:val="20"/>
          <w:szCs w:val="20"/>
        </w:rPr>
      </w:pPr>
      <w:r>
        <w:rPr>
          <w:rFonts w:ascii="Calibri" w:eastAsia="Calibri" w:hAnsi="Calibri" w:cs="Calibri"/>
          <w:sz w:val="24"/>
          <w:szCs w:val="24"/>
        </w:rPr>
        <w:t>para Mujeres inmigradas en la ciudad de Barcelona. Athenea Digital, 11(2), 113-132.</w:t>
      </w:r>
    </w:p>
    <w:p w:rsidR="00F7366B" w:rsidRDefault="00F7366B">
      <w:pPr>
        <w:spacing w:line="3" w:lineRule="exact"/>
        <w:rPr>
          <w:sz w:val="20"/>
          <w:szCs w:val="20"/>
        </w:rPr>
      </w:pPr>
    </w:p>
    <w:p w:rsidR="00F7366B" w:rsidRDefault="00F8342D">
      <w:pPr>
        <w:ind w:left="260"/>
        <w:rPr>
          <w:sz w:val="20"/>
          <w:szCs w:val="20"/>
        </w:rPr>
      </w:pPr>
      <w:r>
        <w:rPr>
          <w:rFonts w:ascii="Calibri" w:eastAsia="Calibri" w:hAnsi="Calibri" w:cs="Calibri"/>
          <w:sz w:val="24"/>
          <w:szCs w:val="24"/>
        </w:rPr>
        <w:t>Disponible en</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http://psicologiasocial.uab.es/athenea/index.php/atheneaDigital/article/view/709</w:t>
      </w:r>
    </w:p>
    <w:p w:rsidR="00F7366B" w:rsidRDefault="00F7366B">
      <w:pPr>
        <w:spacing w:line="292" w:lineRule="exact"/>
        <w:rPr>
          <w:sz w:val="20"/>
          <w:szCs w:val="20"/>
        </w:rPr>
      </w:pPr>
    </w:p>
    <w:p w:rsidR="00F7366B" w:rsidRDefault="00F8342D">
      <w:pPr>
        <w:ind w:left="260"/>
        <w:rPr>
          <w:sz w:val="20"/>
          <w:szCs w:val="20"/>
        </w:rPr>
      </w:pPr>
      <w:r>
        <w:rPr>
          <w:rFonts w:ascii="Calibri" w:eastAsia="Calibri" w:hAnsi="Calibri" w:cs="Calibri"/>
          <w:sz w:val="24"/>
          <w:szCs w:val="24"/>
        </w:rPr>
        <w:t>Moscovici, S. (1985). Introducción: el campo de la psicología social. En S. Moscovici (Ed.),</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i/>
          <w:iCs/>
          <w:sz w:val="24"/>
          <w:szCs w:val="24"/>
        </w:rPr>
        <w:t>Psicología Social</w:t>
      </w:r>
      <w:r>
        <w:rPr>
          <w:rFonts w:ascii="Calibri" w:eastAsia="Calibri" w:hAnsi="Calibri" w:cs="Calibri"/>
          <w:sz w:val="24"/>
          <w:szCs w:val="24"/>
        </w:rPr>
        <w:t>. Barcelona: Paidós. Cap. El campo de la Psicología Social. pp. 17-27).</w:t>
      </w:r>
    </w:p>
    <w:p w:rsidR="00F7366B" w:rsidRDefault="00F7366B">
      <w:pPr>
        <w:spacing w:line="122" w:lineRule="exact"/>
        <w:rPr>
          <w:sz w:val="20"/>
          <w:szCs w:val="20"/>
        </w:rPr>
      </w:pPr>
    </w:p>
    <w:p w:rsidR="00F7366B" w:rsidRDefault="00F8342D">
      <w:pPr>
        <w:spacing w:line="238" w:lineRule="auto"/>
        <w:ind w:left="260" w:right="340"/>
        <w:rPr>
          <w:sz w:val="20"/>
          <w:szCs w:val="20"/>
        </w:rPr>
      </w:pPr>
      <w:r>
        <w:rPr>
          <w:rFonts w:ascii="Calibri" w:eastAsia="Calibri" w:hAnsi="Calibri" w:cs="Calibri"/>
          <w:sz w:val="24"/>
          <w:szCs w:val="24"/>
        </w:rPr>
        <w:t>Parker, Ian (2002). Psicología Crítica: conexiones críticas, pp 73-106. En Políticas, Sujetos y Resistencias. Debates y Críticas en Psicología Social. Cuadernos de Psicología Social, Santiago:Editorial Arcis.</w:t>
      </w:r>
    </w:p>
    <w:p w:rsidR="00F7366B" w:rsidRDefault="00F7366B">
      <w:pPr>
        <w:spacing w:line="299" w:lineRule="exact"/>
        <w:rPr>
          <w:sz w:val="20"/>
          <w:szCs w:val="20"/>
        </w:rPr>
      </w:pPr>
    </w:p>
    <w:p w:rsidR="00F7366B" w:rsidRDefault="00F8342D">
      <w:pPr>
        <w:spacing w:line="238" w:lineRule="auto"/>
        <w:ind w:left="260" w:right="1480"/>
        <w:rPr>
          <w:sz w:val="20"/>
          <w:szCs w:val="20"/>
        </w:rPr>
      </w:pPr>
      <w:r>
        <w:rPr>
          <w:rFonts w:ascii="Calibri" w:eastAsia="Calibri" w:hAnsi="Calibri" w:cs="Calibri"/>
          <w:sz w:val="24"/>
          <w:szCs w:val="24"/>
        </w:rPr>
        <w:t>Pérez Soto, Carlos (1996). Sobre la condición social de la Psicología. Psicología, epistemología y política. Santigo: Ediciones LOM-ARCIS.</w:t>
      </w:r>
    </w:p>
    <w:p w:rsidR="00F7366B" w:rsidRDefault="00F7366B">
      <w:pPr>
        <w:spacing w:line="299" w:lineRule="exact"/>
        <w:rPr>
          <w:sz w:val="20"/>
          <w:szCs w:val="20"/>
        </w:rPr>
      </w:pPr>
    </w:p>
    <w:p w:rsidR="00F7366B" w:rsidRDefault="00F8342D">
      <w:pPr>
        <w:spacing w:line="259" w:lineRule="auto"/>
        <w:ind w:left="260" w:right="440"/>
        <w:rPr>
          <w:sz w:val="20"/>
          <w:szCs w:val="20"/>
        </w:rPr>
      </w:pPr>
      <w:r>
        <w:rPr>
          <w:rFonts w:ascii="Calibri" w:eastAsia="Calibri" w:hAnsi="Calibri" w:cs="Calibri"/>
          <w:sz w:val="23"/>
          <w:szCs w:val="23"/>
        </w:rPr>
        <w:t>Piper-Shafir, I., Fernández-Droguett, R., &amp; Iñiguez-Rueda, L. (2013). Psicología Social de la Memoria: Espacios y Políticas del Recuerdo. Psykhe, 22(2). doi:10.7764/psykhe.22.2.574</w:t>
      </w:r>
    </w:p>
    <w:p w:rsidR="00F7366B" w:rsidRDefault="00F7366B">
      <w:pPr>
        <w:spacing w:line="270" w:lineRule="exact"/>
        <w:rPr>
          <w:sz w:val="20"/>
          <w:szCs w:val="20"/>
        </w:rPr>
      </w:pPr>
    </w:p>
    <w:p w:rsidR="00F7366B" w:rsidRDefault="00F8342D">
      <w:pPr>
        <w:ind w:left="260"/>
        <w:rPr>
          <w:sz w:val="20"/>
          <w:szCs w:val="20"/>
        </w:rPr>
      </w:pPr>
      <w:r>
        <w:rPr>
          <w:rFonts w:ascii="Calibri" w:eastAsia="Calibri" w:hAnsi="Calibri" w:cs="Calibri"/>
          <w:sz w:val="24"/>
          <w:szCs w:val="24"/>
        </w:rPr>
        <w:t>Platero, Raquel (Lucas) (Ed.) (2012). Intersecciones: cuerpos y sexualidades en la</w:t>
      </w:r>
    </w:p>
    <w:p w:rsidR="00F7366B" w:rsidRDefault="00F8342D">
      <w:pPr>
        <w:spacing w:line="237" w:lineRule="auto"/>
        <w:ind w:left="260"/>
        <w:rPr>
          <w:sz w:val="20"/>
          <w:szCs w:val="20"/>
        </w:rPr>
      </w:pPr>
      <w:r>
        <w:rPr>
          <w:rFonts w:ascii="Calibri" w:eastAsia="Calibri" w:hAnsi="Calibri" w:cs="Calibri"/>
          <w:sz w:val="24"/>
          <w:szCs w:val="24"/>
        </w:rPr>
        <w:t>encrucijada. Barcelona: Edicions Bellaterra.</w:t>
      </w:r>
    </w:p>
    <w:p w:rsidR="00F7366B" w:rsidRDefault="00F7366B">
      <w:pPr>
        <w:spacing w:line="298" w:lineRule="exact"/>
        <w:rPr>
          <w:sz w:val="20"/>
          <w:szCs w:val="20"/>
        </w:rPr>
      </w:pPr>
    </w:p>
    <w:p w:rsidR="00F7366B" w:rsidRDefault="00F8342D">
      <w:pPr>
        <w:ind w:left="260"/>
        <w:rPr>
          <w:sz w:val="20"/>
          <w:szCs w:val="20"/>
        </w:rPr>
      </w:pPr>
      <w:r>
        <w:rPr>
          <w:rFonts w:ascii="Calibri" w:eastAsia="Calibri" w:hAnsi="Calibri" w:cs="Calibri"/>
          <w:sz w:val="24"/>
          <w:szCs w:val="24"/>
        </w:rPr>
        <w:t>Potter, J. (1998). La representación de la realidad. Discurso, retórica y construcción social.</w:t>
      </w:r>
    </w:p>
    <w:p w:rsidR="00F7366B" w:rsidRDefault="00F7366B">
      <w:pPr>
        <w:spacing w:line="2" w:lineRule="exact"/>
        <w:rPr>
          <w:sz w:val="20"/>
          <w:szCs w:val="20"/>
        </w:rPr>
      </w:pPr>
    </w:p>
    <w:p w:rsidR="00F7366B" w:rsidRPr="00F8342D" w:rsidRDefault="00F8342D">
      <w:pPr>
        <w:ind w:left="260"/>
        <w:rPr>
          <w:sz w:val="20"/>
          <w:szCs w:val="20"/>
          <w:lang w:val="en-US"/>
        </w:rPr>
      </w:pPr>
      <w:r w:rsidRPr="00F8342D">
        <w:rPr>
          <w:rFonts w:ascii="Calibri" w:eastAsia="Calibri" w:hAnsi="Calibri" w:cs="Calibri"/>
          <w:sz w:val="24"/>
          <w:szCs w:val="24"/>
          <w:lang w:val="en-US"/>
        </w:rPr>
        <w:t xml:space="preserve">Barcelona: </w:t>
      </w:r>
      <w:proofErr w:type="spellStart"/>
      <w:r w:rsidRPr="00F8342D">
        <w:rPr>
          <w:rFonts w:ascii="Calibri" w:eastAsia="Calibri" w:hAnsi="Calibri" w:cs="Calibri"/>
          <w:sz w:val="24"/>
          <w:szCs w:val="24"/>
          <w:lang w:val="en-US"/>
        </w:rPr>
        <w:t>Paidós</w:t>
      </w:r>
      <w:proofErr w:type="spellEnd"/>
      <w:r w:rsidRPr="00F8342D">
        <w:rPr>
          <w:rFonts w:ascii="Calibri" w:eastAsia="Calibri" w:hAnsi="Calibri" w:cs="Calibri"/>
          <w:sz w:val="24"/>
          <w:szCs w:val="24"/>
          <w:lang w:val="en-US"/>
        </w:rPr>
        <w:t>.</w:t>
      </w:r>
    </w:p>
    <w:p w:rsidR="00F7366B" w:rsidRPr="00F8342D" w:rsidRDefault="00F7366B">
      <w:pPr>
        <w:spacing w:line="117" w:lineRule="exact"/>
        <w:rPr>
          <w:sz w:val="20"/>
          <w:szCs w:val="20"/>
          <w:lang w:val="en-US"/>
        </w:rPr>
      </w:pPr>
    </w:p>
    <w:p w:rsidR="00F7366B" w:rsidRPr="00F8342D" w:rsidRDefault="00F8342D">
      <w:pPr>
        <w:ind w:left="260"/>
        <w:rPr>
          <w:sz w:val="20"/>
          <w:szCs w:val="20"/>
          <w:lang w:val="en-US"/>
        </w:rPr>
      </w:pPr>
      <w:r w:rsidRPr="00F8342D">
        <w:rPr>
          <w:rFonts w:ascii="Calibri" w:eastAsia="Calibri" w:hAnsi="Calibri" w:cs="Calibri"/>
          <w:sz w:val="24"/>
          <w:szCs w:val="24"/>
          <w:lang w:val="en-US"/>
        </w:rPr>
        <w:t>Potter, J. &amp; Hepburn, A. (2007). Discursive psychology: Mind and reality in practice. In A.</w:t>
      </w:r>
    </w:p>
    <w:p w:rsidR="00F7366B" w:rsidRPr="00F8342D" w:rsidRDefault="00F7366B">
      <w:pPr>
        <w:spacing w:line="47" w:lineRule="exact"/>
        <w:rPr>
          <w:sz w:val="20"/>
          <w:szCs w:val="20"/>
          <w:lang w:val="en-US"/>
        </w:rPr>
      </w:pPr>
    </w:p>
    <w:p w:rsidR="00F7366B" w:rsidRPr="00F8342D" w:rsidRDefault="00F8342D">
      <w:pPr>
        <w:ind w:left="260"/>
        <w:rPr>
          <w:sz w:val="20"/>
          <w:szCs w:val="20"/>
          <w:lang w:val="en-US"/>
        </w:rPr>
      </w:pPr>
      <w:proofErr w:type="spellStart"/>
      <w:r w:rsidRPr="00F8342D">
        <w:rPr>
          <w:rFonts w:ascii="Calibri" w:eastAsia="Calibri" w:hAnsi="Calibri" w:cs="Calibri"/>
          <w:sz w:val="24"/>
          <w:szCs w:val="24"/>
          <w:lang w:val="en-US"/>
        </w:rPr>
        <w:t>Wetherall</w:t>
      </w:r>
      <w:proofErr w:type="spellEnd"/>
      <w:r w:rsidRPr="00F8342D">
        <w:rPr>
          <w:rFonts w:ascii="Calibri" w:eastAsia="Calibri" w:hAnsi="Calibri" w:cs="Calibri"/>
          <w:sz w:val="24"/>
          <w:szCs w:val="24"/>
          <w:lang w:val="en-US"/>
        </w:rPr>
        <w:t xml:space="preserve">, B. Watson &amp; C. </w:t>
      </w:r>
      <w:proofErr w:type="spellStart"/>
      <w:r w:rsidRPr="00F8342D">
        <w:rPr>
          <w:rFonts w:ascii="Calibri" w:eastAsia="Calibri" w:hAnsi="Calibri" w:cs="Calibri"/>
          <w:sz w:val="24"/>
          <w:szCs w:val="24"/>
          <w:lang w:val="en-US"/>
        </w:rPr>
        <w:t>Gallois</w:t>
      </w:r>
      <w:proofErr w:type="spellEnd"/>
      <w:r w:rsidRPr="00F8342D">
        <w:rPr>
          <w:rFonts w:ascii="Calibri" w:eastAsia="Calibri" w:hAnsi="Calibri" w:cs="Calibri"/>
          <w:sz w:val="24"/>
          <w:szCs w:val="24"/>
          <w:lang w:val="en-US"/>
        </w:rPr>
        <w:t xml:space="preserve"> (</w:t>
      </w:r>
      <w:proofErr w:type="spellStart"/>
      <w:r w:rsidRPr="00F8342D">
        <w:rPr>
          <w:rFonts w:ascii="Calibri" w:eastAsia="Calibri" w:hAnsi="Calibri" w:cs="Calibri"/>
          <w:sz w:val="24"/>
          <w:szCs w:val="24"/>
          <w:lang w:val="en-US"/>
        </w:rPr>
        <w:t>Eds</w:t>
      </w:r>
      <w:proofErr w:type="spellEnd"/>
      <w:r w:rsidRPr="00F8342D">
        <w:rPr>
          <w:rFonts w:ascii="Calibri" w:eastAsia="Calibri" w:hAnsi="Calibri" w:cs="Calibri"/>
          <w:sz w:val="24"/>
          <w:szCs w:val="24"/>
          <w:lang w:val="en-US"/>
        </w:rPr>
        <w:t>). Language and Social Psychology Handbook (pp.</w:t>
      </w:r>
    </w:p>
    <w:p w:rsidR="00F7366B" w:rsidRPr="00F8342D" w:rsidRDefault="00F7366B">
      <w:pPr>
        <w:spacing w:line="42" w:lineRule="exact"/>
        <w:rPr>
          <w:sz w:val="20"/>
          <w:szCs w:val="20"/>
          <w:lang w:val="en-US"/>
        </w:rPr>
      </w:pPr>
    </w:p>
    <w:p w:rsidR="00F7366B" w:rsidRDefault="00F8342D">
      <w:pPr>
        <w:ind w:left="260"/>
        <w:rPr>
          <w:sz w:val="20"/>
          <w:szCs w:val="20"/>
        </w:rPr>
      </w:pPr>
      <w:r>
        <w:rPr>
          <w:rFonts w:ascii="Calibri" w:eastAsia="Calibri" w:hAnsi="Calibri" w:cs="Calibri"/>
          <w:sz w:val="24"/>
          <w:szCs w:val="24"/>
        </w:rPr>
        <w:t>160-181). London: Palgrave.</w:t>
      </w:r>
    </w:p>
    <w:p w:rsidR="00F7366B" w:rsidRDefault="00F7366B">
      <w:pPr>
        <w:spacing w:line="167" w:lineRule="exact"/>
        <w:rPr>
          <w:sz w:val="20"/>
          <w:szCs w:val="20"/>
        </w:rPr>
      </w:pPr>
    </w:p>
    <w:p w:rsidR="00F7366B" w:rsidRDefault="00F8342D">
      <w:pPr>
        <w:spacing w:line="239" w:lineRule="auto"/>
        <w:ind w:left="260" w:right="260"/>
        <w:jc w:val="both"/>
        <w:rPr>
          <w:sz w:val="20"/>
          <w:szCs w:val="20"/>
        </w:rPr>
      </w:pPr>
      <w:r>
        <w:rPr>
          <w:rFonts w:ascii="Calibri" w:eastAsia="Calibri" w:hAnsi="Calibri" w:cs="Calibri"/>
          <w:sz w:val="24"/>
          <w:szCs w:val="24"/>
        </w:rPr>
        <w:t>Sandoval Moya, J. (2004). El conocimiento como acción situada: Trasfondo, articulación y pluralismo (Cap. 4). En Representación, discursividad y acción situada. Introducción crítica a la psicología social del conocimiento. Valparaiso: Editorial Universidad de Valparaiso.</w:t>
      </w:r>
    </w:p>
    <w:p w:rsidR="00F7366B" w:rsidRDefault="00F7366B">
      <w:pPr>
        <w:spacing w:line="125" w:lineRule="exact"/>
        <w:rPr>
          <w:sz w:val="20"/>
          <w:szCs w:val="20"/>
        </w:rPr>
      </w:pPr>
    </w:p>
    <w:p w:rsidR="00F7366B" w:rsidRDefault="00F8342D">
      <w:pPr>
        <w:spacing w:line="239" w:lineRule="auto"/>
        <w:ind w:left="260" w:right="340"/>
        <w:rPr>
          <w:sz w:val="20"/>
          <w:szCs w:val="20"/>
        </w:rPr>
      </w:pPr>
      <w:r>
        <w:rPr>
          <w:rFonts w:ascii="Calibri" w:eastAsia="Calibri" w:hAnsi="Calibri" w:cs="Calibri"/>
          <w:sz w:val="24"/>
          <w:szCs w:val="24"/>
        </w:rPr>
        <w:t>Sandoval Moya, J. (2004). Las tendencias socioconstruccionistas: De la representación a la acción discursiva (Cap. 3). En Representación, discursividad y acción situada. Introducción crítica a la psicología social del conocimiento. Valparaiso: Editorial Universidad de Valparaiso.</w:t>
      </w:r>
    </w:p>
    <w:p w:rsidR="00F7366B" w:rsidRDefault="00F7366B">
      <w:pPr>
        <w:spacing w:line="63" w:lineRule="exact"/>
        <w:rPr>
          <w:sz w:val="20"/>
          <w:szCs w:val="20"/>
        </w:rPr>
      </w:pPr>
    </w:p>
    <w:p w:rsidR="00F7366B" w:rsidRDefault="00F8342D">
      <w:pPr>
        <w:ind w:left="9000"/>
        <w:rPr>
          <w:sz w:val="20"/>
          <w:szCs w:val="20"/>
        </w:rPr>
      </w:pPr>
      <w:r>
        <w:rPr>
          <w:rFonts w:ascii="Calibri" w:eastAsia="Calibri" w:hAnsi="Calibri" w:cs="Calibri"/>
          <w:sz w:val="19"/>
          <w:szCs w:val="19"/>
        </w:rPr>
        <w:t>9</w:t>
      </w:r>
    </w:p>
    <w:p w:rsidR="00F7366B" w:rsidRDefault="00F7366B">
      <w:pPr>
        <w:sectPr w:rsidR="00F7366B">
          <w:pgSz w:w="12240" w:h="15840"/>
          <w:pgMar w:top="1440" w:right="1440" w:bottom="923" w:left="1440" w:header="0" w:footer="0" w:gutter="0"/>
          <w:cols w:space="720" w:equalWidth="0">
            <w:col w:w="9360"/>
          </w:cols>
        </w:sectPr>
      </w:pPr>
    </w:p>
    <w:p w:rsidR="00F7366B" w:rsidRDefault="00F8342D">
      <w:pPr>
        <w:spacing w:line="200" w:lineRule="exact"/>
        <w:rPr>
          <w:sz w:val="20"/>
          <w:szCs w:val="20"/>
        </w:rPr>
      </w:pPr>
      <w:bookmarkStart w:id="10" w:name="page10"/>
      <w:bookmarkEnd w:id="10"/>
      <w:r>
        <w:rPr>
          <w:noProof/>
          <w:sz w:val="20"/>
          <w:szCs w:val="20"/>
          <w:lang w:val="es-CL" w:eastAsia="es-CL"/>
        </w:rPr>
        <w:lastRenderedPageBreak/>
        <w:drawing>
          <wp:anchor distT="0" distB="0" distL="114300" distR="114300" simplePos="0" relativeHeight="251667456" behindDoc="1" locked="0" layoutInCell="0" allowOverlap="1">
            <wp:simplePos x="0" y="0"/>
            <wp:positionH relativeFrom="page">
              <wp:posOffset>1007110</wp:posOffset>
            </wp:positionH>
            <wp:positionV relativeFrom="page">
              <wp:posOffset>450850</wp:posOffset>
            </wp:positionV>
            <wp:extent cx="5758815" cy="58629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5758815" cy="5862955"/>
                    </a:xfrm>
                    <a:prstGeom prst="rect">
                      <a:avLst/>
                    </a:prstGeom>
                    <a:noFill/>
                  </pic:spPr>
                </pic:pic>
              </a:graphicData>
            </a:graphic>
          </wp:anchor>
        </w:drawing>
      </w: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68" w:lineRule="exact"/>
        <w:rPr>
          <w:sz w:val="20"/>
          <w:szCs w:val="20"/>
        </w:rPr>
      </w:pPr>
    </w:p>
    <w:p w:rsidR="00F7366B" w:rsidRDefault="00F8342D">
      <w:pPr>
        <w:ind w:left="260"/>
        <w:rPr>
          <w:sz w:val="20"/>
          <w:szCs w:val="20"/>
        </w:rPr>
      </w:pPr>
      <w:r>
        <w:rPr>
          <w:rFonts w:ascii="Calibri" w:eastAsia="Calibri" w:hAnsi="Calibri" w:cs="Calibri"/>
          <w:sz w:val="24"/>
          <w:szCs w:val="24"/>
        </w:rPr>
        <w:t>Scott, Joan (2011) Género: ¿Todavía una categoría útil para el análisis? La manzana de la</w:t>
      </w:r>
    </w:p>
    <w:p w:rsidR="00F7366B" w:rsidRDefault="00F7366B">
      <w:pPr>
        <w:spacing w:line="2" w:lineRule="exact"/>
        <w:rPr>
          <w:sz w:val="20"/>
          <w:szCs w:val="20"/>
        </w:rPr>
      </w:pPr>
    </w:p>
    <w:p w:rsidR="00F7366B" w:rsidRDefault="00F8342D">
      <w:pPr>
        <w:ind w:left="260"/>
        <w:rPr>
          <w:sz w:val="20"/>
          <w:szCs w:val="20"/>
        </w:rPr>
      </w:pPr>
      <w:r>
        <w:rPr>
          <w:rFonts w:ascii="Calibri" w:eastAsia="Calibri" w:hAnsi="Calibri" w:cs="Calibri"/>
          <w:sz w:val="24"/>
          <w:szCs w:val="24"/>
        </w:rPr>
        <w:t>discordia. Vol. 6, No. 1: 95-101</w:t>
      </w:r>
    </w:p>
    <w:p w:rsidR="00F7366B" w:rsidRDefault="00F7366B">
      <w:pPr>
        <w:spacing w:line="297" w:lineRule="exact"/>
        <w:rPr>
          <w:sz w:val="20"/>
          <w:szCs w:val="20"/>
        </w:rPr>
      </w:pPr>
    </w:p>
    <w:p w:rsidR="00F7366B" w:rsidRPr="00F8342D" w:rsidRDefault="00F8342D">
      <w:pPr>
        <w:spacing w:line="238" w:lineRule="auto"/>
        <w:ind w:left="260" w:right="940"/>
        <w:rPr>
          <w:sz w:val="20"/>
          <w:szCs w:val="20"/>
          <w:lang w:val="en-US"/>
        </w:rPr>
      </w:pPr>
      <w:r>
        <w:rPr>
          <w:rFonts w:ascii="Calibri" w:eastAsia="Calibri" w:hAnsi="Calibri" w:cs="Calibri"/>
          <w:sz w:val="24"/>
          <w:szCs w:val="24"/>
        </w:rPr>
        <w:t xml:space="preserve">Speer, Susan (2005). Gender Talk. </w:t>
      </w:r>
      <w:r w:rsidRPr="00F8342D">
        <w:rPr>
          <w:rFonts w:ascii="Calibri" w:eastAsia="Calibri" w:hAnsi="Calibri" w:cs="Calibri"/>
          <w:sz w:val="24"/>
          <w:szCs w:val="24"/>
          <w:lang w:val="en-US"/>
        </w:rPr>
        <w:t xml:space="preserve">Feminism, Discourse and Conversation. </w:t>
      </w:r>
      <w:proofErr w:type="spellStart"/>
      <w:r w:rsidRPr="00F8342D">
        <w:rPr>
          <w:rFonts w:ascii="Calibri" w:eastAsia="Calibri" w:hAnsi="Calibri" w:cs="Calibri"/>
          <w:sz w:val="24"/>
          <w:szCs w:val="24"/>
          <w:lang w:val="en-US"/>
        </w:rPr>
        <w:t>Londres</w:t>
      </w:r>
      <w:proofErr w:type="spellEnd"/>
      <w:r w:rsidRPr="00F8342D">
        <w:rPr>
          <w:rFonts w:ascii="Calibri" w:eastAsia="Calibri" w:hAnsi="Calibri" w:cs="Calibri"/>
          <w:sz w:val="24"/>
          <w:szCs w:val="24"/>
          <w:lang w:val="en-US"/>
        </w:rPr>
        <w:t xml:space="preserve"> y Nueva York: </w:t>
      </w:r>
      <w:proofErr w:type="spellStart"/>
      <w:r w:rsidRPr="00F8342D">
        <w:rPr>
          <w:rFonts w:ascii="Calibri" w:eastAsia="Calibri" w:hAnsi="Calibri" w:cs="Calibri"/>
          <w:sz w:val="24"/>
          <w:szCs w:val="24"/>
          <w:lang w:val="en-US"/>
        </w:rPr>
        <w:t>Routledge</w:t>
      </w:r>
      <w:proofErr w:type="spellEnd"/>
      <w:r w:rsidRPr="00F8342D">
        <w:rPr>
          <w:rFonts w:ascii="Calibri" w:eastAsia="Calibri" w:hAnsi="Calibri" w:cs="Calibri"/>
          <w:sz w:val="24"/>
          <w:szCs w:val="24"/>
          <w:lang w:val="en-US"/>
        </w:rPr>
        <w:t>.</w:t>
      </w:r>
    </w:p>
    <w:p w:rsidR="00F7366B" w:rsidRPr="00F8342D" w:rsidRDefault="00F7366B">
      <w:pPr>
        <w:spacing w:line="300" w:lineRule="exact"/>
        <w:rPr>
          <w:sz w:val="20"/>
          <w:szCs w:val="20"/>
          <w:lang w:val="en-US"/>
        </w:rPr>
      </w:pPr>
    </w:p>
    <w:p w:rsidR="00F7366B" w:rsidRPr="00F8342D" w:rsidRDefault="00F8342D">
      <w:pPr>
        <w:spacing w:line="238" w:lineRule="auto"/>
        <w:ind w:left="260" w:right="820"/>
        <w:rPr>
          <w:rFonts w:ascii="Calibri" w:eastAsia="Calibri" w:hAnsi="Calibri" w:cs="Calibri"/>
          <w:color w:val="0563C1"/>
          <w:sz w:val="24"/>
          <w:szCs w:val="24"/>
          <w:u w:val="single"/>
          <w:lang w:val="en-US"/>
        </w:rPr>
      </w:pPr>
      <w:r>
        <w:rPr>
          <w:rFonts w:ascii="Calibri" w:eastAsia="Calibri" w:hAnsi="Calibri" w:cs="Calibri"/>
          <w:sz w:val="24"/>
          <w:szCs w:val="24"/>
        </w:rPr>
        <w:t xml:space="preserve">Troncoso Pérez, </w:t>
      </w:r>
      <w:proofErr w:type="spellStart"/>
      <w:r>
        <w:rPr>
          <w:rFonts w:ascii="Calibri" w:eastAsia="Calibri" w:hAnsi="Calibri" w:cs="Calibri"/>
          <w:sz w:val="24"/>
          <w:szCs w:val="24"/>
        </w:rPr>
        <w:t>Lelya</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Piper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Shafir</w:t>
      </w:r>
      <w:proofErr w:type="spellEnd"/>
      <w:r>
        <w:rPr>
          <w:rFonts w:ascii="Calibri" w:eastAsia="Calibri" w:hAnsi="Calibri" w:cs="Calibri"/>
          <w:sz w:val="24"/>
          <w:szCs w:val="24"/>
        </w:rPr>
        <w:t xml:space="preserve">, Isabel (2015). Género y memoria: articulaciones críticas y feministas. </w:t>
      </w:r>
      <w:proofErr w:type="spellStart"/>
      <w:r w:rsidRPr="00F8342D">
        <w:rPr>
          <w:rFonts w:ascii="Calibri" w:eastAsia="Calibri" w:hAnsi="Calibri" w:cs="Calibri"/>
          <w:sz w:val="24"/>
          <w:szCs w:val="24"/>
          <w:lang w:val="en-US"/>
        </w:rPr>
        <w:t>Athenea</w:t>
      </w:r>
      <w:proofErr w:type="spellEnd"/>
      <w:r w:rsidRPr="00F8342D">
        <w:rPr>
          <w:rFonts w:ascii="Calibri" w:eastAsia="Calibri" w:hAnsi="Calibri" w:cs="Calibri"/>
          <w:sz w:val="24"/>
          <w:szCs w:val="24"/>
          <w:lang w:val="en-US"/>
        </w:rPr>
        <w:t xml:space="preserve"> Digital, 15(1), 65-90. </w:t>
      </w:r>
      <w:hyperlink r:id="rId20">
        <w:r w:rsidRPr="00F8342D">
          <w:rPr>
            <w:rFonts w:ascii="Calibri" w:eastAsia="Calibri" w:hAnsi="Calibri" w:cs="Calibri"/>
            <w:color w:val="0563C1"/>
            <w:sz w:val="24"/>
            <w:szCs w:val="24"/>
            <w:u w:val="single"/>
            <w:lang w:val="en-US"/>
          </w:rPr>
          <w:t>http://dx.doi.org/10.5565/rev/athenea.1231</w:t>
        </w:r>
      </w:hyperlink>
    </w:p>
    <w:p w:rsidR="00F7366B" w:rsidRPr="00F8342D" w:rsidRDefault="00F7366B">
      <w:pPr>
        <w:spacing w:line="294" w:lineRule="exact"/>
        <w:rPr>
          <w:sz w:val="20"/>
          <w:szCs w:val="20"/>
          <w:lang w:val="en-US"/>
        </w:rPr>
      </w:pPr>
    </w:p>
    <w:p w:rsidR="00F7366B" w:rsidRPr="00F8342D" w:rsidRDefault="00F8342D">
      <w:pPr>
        <w:ind w:left="260"/>
        <w:rPr>
          <w:sz w:val="20"/>
          <w:szCs w:val="20"/>
          <w:lang w:val="en-US"/>
        </w:rPr>
      </w:pPr>
      <w:proofErr w:type="spellStart"/>
      <w:r w:rsidRPr="00F8342D">
        <w:rPr>
          <w:rFonts w:ascii="Calibri" w:eastAsia="Calibri" w:hAnsi="Calibri" w:cs="Calibri"/>
          <w:sz w:val="24"/>
          <w:szCs w:val="24"/>
          <w:lang w:val="en-US"/>
        </w:rPr>
        <w:t>Tuffin</w:t>
      </w:r>
      <w:proofErr w:type="spellEnd"/>
      <w:r w:rsidRPr="00F8342D">
        <w:rPr>
          <w:rFonts w:ascii="Calibri" w:eastAsia="Calibri" w:hAnsi="Calibri" w:cs="Calibri"/>
          <w:sz w:val="24"/>
          <w:szCs w:val="24"/>
          <w:lang w:val="en-US"/>
        </w:rPr>
        <w:t xml:space="preserve">, Keith (2005). Understanding Critical Social Psychology. </w:t>
      </w:r>
      <w:proofErr w:type="spellStart"/>
      <w:r w:rsidRPr="00F8342D">
        <w:rPr>
          <w:rFonts w:ascii="Calibri" w:eastAsia="Calibri" w:hAnsi="Calibri" w:cs="Calibri"/>
          <w:sz w:val="24"/>
          <w:szCs w:val="24"/>
          <w:lang w:val="en-US"/>
        </w:rPr>
        <w:t>Londres</w:t>
      </w:r>
      <w:proofErr w:type="spellEnd"/>
      <w:r w:rsidRPr="00F8342D">
        <w:rPr>
          <w:rFonts w:ascii="Calibri" w:eastAsia="Calibri" w:hAnsi="Calibri" w:cs="Calibri"/>
          <w:sz w:val="24"/>
          <w:szCs w:val="24"/>
          <w:lang w:val="en-US"/>
        </w:rPr>
        <w:t>: Sage Publications.</w:t>
      </w:r>
    </w:p>
    <w:p w:rsidR="00F7366B" w:rsidRPr="00F8342D" w:rsidRDefault="00F7366B">
      <w:pPr>
        <w:spacing w:line="297" w:lineRule="exact"/>
        <w:rPr>
          <w:sz w:val="20"/>
          <w:szCs w:val="20"/>
          <w:lang w:val="en-US"/>
        </w:rPr>
      </w:pPr>
    </w:p>
    <w:p w:rsidR="00F7366B" w:rsidRDefault="00F8342D">
      <w:pPr>
        <w:spacing w:line="238" w:lineRule="auto"/>
        <w:ind w:left="260" w:right="1360"/>
        <w:rPr>
          <w:sz w:val="20"/>
          <w:szCs w:val="20"/>
        </w:rPr>
      </w:pPr>
      <w:proofErr w:type="spellStart"/>
      <w:r w:rsidRPr="00F8342D">
        <w:rPr>
          <w:rFonts w:ascii="Calibri" w:eastAsia="Calibri" w:hAnsi="Calibri" w:cs="Calibri"/>
          <w:sz w:val="24"/>
          <w:szCs w:val="24"/>
          <w:lang w:val="en-US"/>
        </w:rPr>
        <w:t>Vázquez</w:t>
      </w:r>
      <w:proofErr w:type="spellEnd"/>
      <w:r w:rsidRPr="00F8342D">
        <w:rPr>
          <w:rFonts w:ascii="Calibri" w:eastAsia="Calibri" w:hAnsi="Calibri" w:cs="Calibri"/>
          <w:sz w:val="24"/>
          <w:szCs w:val="24"/>
          <w:lang w:val="en-US"/>
        </w:rPr>
        <w:t xml:space="preserve">, Félix (2001). </w:t>
      </w:r>
      <w:r>
        <w:rPr>
          <w:rFonts w:ascii="Calibri" w:eastAsia="Calibri" w:hAnsi="Calibri" w:cs="Calibri"/>
          <w:sz w:val="24"/>
          <w:szCs w:val="24"/>
        </w:rPr>
        <w:t>La memoria como acción social: relaciones, significados e imaginario. Editorial Paidós.</w:t>
      </w:r>
    </w:p>
    <w:p w:rsidR="00F7366B" w:rsidRDefault="00F7366B">
      <w:pPr>
        <w:spacing w:line="299" w:lineRule="exact"/>
        <w:rPr>
          <w:sz w:val="20"/>
          <w:szCs w:val="20"/>
        </w:rPr>
      </w:pPr>
    </w:p>
    <w:p w:rsidR="00F7366B" w:rsidRDefault="00F8342D">
      <w:pPr>
        <w:spacing w:line="259" w:lineRule="auto"/>
        <w:ind w:left="260" w:right="380"/>
        <w:rPr>
          <w:sz w:val="20"/>
          <w:szCs w:val="20"/>
        </w:rPr>
      </w:pPr>
      <w:r>
        <w:rPr>
          <w:rFonts w:ascii="Calibri" w:eastAsia="Calibri" w:hAnsi="Calibri" w:cs="Calibri"/>
          <w:sz w:val="23"/>
          <w:szCs w:val="23"/>
        </w:rPr>
        <w:t>Wetherell, Margaret, &amp; Potter, Jonathan. (1996). El análisis del discurso y la identificación de los repertorios interpretativos. Psicologías, discursos y poder. Madrid: Visor, 66.</w:t>
      </w:r>
    </w:p>
    <w:p w:rsidR="00F7366B" w:rsidRDefault="00F7366B">
      <w:pPr>
        <w:spacing w:line="270" w:lineRule="exact"/>
        <w:rPr>
          <w:sz w:val="20"/>
          <w:szCs w:val="20"/>
        </w:rPr>
      </w:pPr>
    </w:p>
    <w:p w:rsidR="00F7366B" w:rsidRPr="00F8342D" w:rsidRDefault="00F8342D">
      <w:pPr>
        <w:ind w:left="260"/>
        <w:rPr>
          <w:sz w:val="20"/>
          <w:szCs w:val="20"/>
          <w:lang w:val="en-US"/>
        </w:rPr>
      </w:pPr>
      <w:r>
        <w:rPr>
          <w:rFonts w:ascii="Calibri" w:eastAsia="Calibri" w:hAnsi="Calibri" w:cs="Calibri"/>
          <w:sz w:val="24"/>
          <w:szCs w:val="24"/>
        </w:rPr>
        <w:t xml:space="preserve">Wetherell, Margaret, &amp; Potter, Jonathan. </w:t>
      </w:r>
      <w:r w:rsidRPr="00F8342D">
        <w:rPr>
          <w:rFonts w:ascii="Calibri" w:eastAsia="Calibri" w:hAnsi="Calibri" w:cs="Calibri"/>
          <w:sz w:val="24"/>
          <w:szCs w:val="24"/>
          <w:lang w:val="en-US"/>
        </w:rPr>
        <w:t>(1992).Mapping the language of racism.</w:t>
      </w:r>
    </w:p>
    <w:p w:rsidR="00F7366B" w:rsidRPr="00F8342D" w:rsidRDefault="00F7366B">
      <w:pPr>
        <w:spacing w:line="2" w:lineRule="exact"/>
        <w:rPr>
          <w:sz w:val="20"/>
          <w:szCs w:val="20"/>
          <w:lang w:val="en-US"/>
        </w:rPr>
      </w:pPr>
    </w:p>
    <w:p w:rsidR="00F7366B" w:rsidRPr="00F8342D" w:rsidRDefault="00F8342D">
      <w:pPr>
        <w:ind w:left="260"/>
        <w:rPr>
          <w:sz w:val="20"/>
          <w:szCs w:val="20"/>
          <w:lang w:val="en-US"/>
        </w:rPr>
      </w:pPr>
      <w:r w:rsidRPr="00F8342D">
        <w:rPr>
          <w:rFonts w:ascii="Calibri" w:eastAsia="Calibri" w:hAnsi="Calibri" w:cs="Calibri"/>
          <w:sz w:val="24"/>
          <w:szCs w:val="24"/>
          <w:lang w:val="en-US"/>
        </w:rPr>
        <w:t>Discourse and the legitimation of exploitation. New York: Columbia University Press.</w:t>
      </w:r>
    </w:p>
    <w:p w:rsidR="00F7366B" w:rsidRPr="00F8342D" w:rsidRDefault="00F7366B">
      <w:pPr>
        <w:spacing w:line="292" w:lineRule="exact"/>
        <w:rPr>
          <w:sz w:val="20"/>
          <w:szCs w:val="20"/>
          <w:lang w:val="en-US"/>
        </w:rPr>
      </w:pPr>
    </w:p>
    <w:p w:rsidR="00F7366B" w:rsidRDefault="00F8342D">
      <w:pPr>
        <w:ind w:left="260"/>
        <w:rPr>
          <w:sz w:val="20"/>
          <w:szCs w:val="20"/>
        </w:rPr>
      </w:pPr>
      <w:r w:rsidRPr="00F8342D">
        <w:rPr>
          <w:rFonts w:ascii="Calibri" w:eastAsia="Calibri" w:hAnsi="Calibri" w:cs="Calibri"/>
          <w:sz w:val="24"/>
          <w:szCs w:val="24"/>
          <w:lang w:val="en-US"/>
        </w:rPr>
        <w:t xml:space="preserve">Wilkinson, Sue (1997). Prioritizing the Political: Feminist Psychology. </w:t>
      </w:r>
      <w:r>
        <w:rPr>
          <w:rFonts w:ascii="Calibri" w:eastAsia="Calibri" w:hAnsi="Calibri" w:cs="Calibri"/>
          <w:sz w:val="24"/>
          <w:szCs w:val="24"/>
        </w:rPr>
        <w:t xml:space="preserve">En </w:t>
      </w:r>
      <w:proofErr w:type="spellStart"/>
      <w:r>
        <w:rPr>
          <w:rFonts w:ascii="Calibri" w:eastAsia="Calibri" w:hAnsi="Calibri" w:cs="Calibri"/>
          <w:sz w:val="24"/>
          <w:szCs w:val="24"/>
        </w:rPr>
        <w:t>Ibañez</w:t>
      </w:r>
      <w:proofErr w:type="spellEnd"/>
      <w:r>
        <w:rPr>
          <w:rFonts w:ascii="Calibri" w:eastAsia="Calibri" w:hAnsi="Calibri" w:cs="Calibri"/>
          <w:sz w:val="24"/>
          <w:szCs w:val="24"/>
        </w:rPr>
        <w:t>, T., y</w:t>
      </w:r>
    </w:p>
    <w:p w:rsidR="00F7366B" w:rsidRDefault="00F8342D">
      <w:pPr>
        <w:spacing w:line="238" w:lineRule="auto"/>
        <w:ind w:left="260"/>
        <w:rPr>
          <w:sz w:val="20"/>
          <w:szCs w:val="20"/>
        </w:rPr>
      </w:pPr>
      <w:r>
        <w:rPr>
          <w:rFonts w:ascii="Calibri" w:eastAsia="Calibri" w:hAnsi="Calibri" w:cs="Calibri"/>
          <w:sz w:val="24"/>
          <w:szCs w:val="24"/>
        </w:rPr>
        <w:t>Iñiguez, L. (Eds): Critical Social Psychology, pp. 178-194. Londres: Sage.</w:t>
      </w: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00" w:lineRule="exact"/>
        <w:rPr>
          <w:sz w:val="20"/>
          <w:szCs w:val="20"/>
        </w:rPr>
      </w:pPr>
    </w:p>
    <w:p w:rsidR="00F7366B" w:rsidRDefault="00F7366B">
      <w:pPr>
        <w:spacing w:line="267" w:lineRule="exact"/>
        <w:rPr>
          <w:sz w:val="20"/>
          <w:szCs w:val="20"/>
        </w:rPr>
      </w:pPr>
    </w:p>
    <w:p w:rsidR="00F7366B" w:rsidRDefault="00F8342D">
      <w:pPr>
        <w:ind w:right="260"/>
        <w:jc w:val="right"/>
        <w:rPr>
          <w:sz w:val="20"/>
          <w:szCs w:val="20"/>
        </w:rPr>
      </w:pPr>
      <w:r>
        <w:rPr>
          <w:rFonts w:ascii="Calibri" w:eastAsia="Calibri" w:hAnsi="Calibri" w:cs="Calibri"/>
        </w:rPr>
        <w:t>10</w:t>
      </w:r>
    </w:p>
    <w:sectPr w:rsidR="00F7366B">
      <w:pgSz w:w="12240" w:h="15840"/>
      <w:pgMar w:top="1440" w:right="1440" w:bottom="892"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141F2"/>
    <w:multiLevelType w:val="hybridMultilevel"/>
    <w:tmpl w:val="25FED85C"/>
    <w:lvl w:ilvl="0" w:tplc="C80612E4">
      <w:start w:val="1"/>
      <w:numFmt w:val="bullet"/>
      <w:lvlText w:val="•"/>
      <w:lvlJc w:val="left"/>
    </w:lvl>
    <w:lvl w:ilvl="1" w:tplc="1FCAE1AE">
      <w:numFmt w:val="decimal"/>
      <w:lvlText w:val=""/>
      <w:lvlJc w:val="left"/>
    </w:lvl>
    <w:lvl w:ilvl="2" w:tplc="6EC643BE">
      <w:numFmt w:val="decimal"/>
      <w:lvlText w:val=""/>
      <w:lvlJc w:val="left"/>
    </w:lvl>
    <w:lvl w:ilvl="3" w:tplc="1BB8B13A">
      <w:numFmt w:val="decimal"/>
      <w:lvlText w:val=""/>
      <w:lvlJc w:val="left"/>
    </w:lvl>
    <w:lvl w:ilvl="4" w:tplc="A8A07EFA">
      <w:numFmt w:val="decimal"/>
      <w:lvlText w:val=""/>
      <w:lvlJc w:val="left"/>
    </w:lvl>
    <w:lvl w:ilvl="5" w:tplc="CFC074BC">
      <w:numFmt w:val="decimal"/>
      <w:lvlText w:val=""/>
      <w:lvlJc w:val="left"/>
    </w:lvl>
    <w:lvl w:ilvl="6" w:tplc="F0FA7188">
      <w:numFmt w:val="decimal"/>
      <w:lvlText w:val=""/>
      <w:lvlJc w:val="left"/>
    </w:lvl>
    <w:lvl w:ilvl="7" w:tplc="D3D0621E">
      <w:numFmt w:val="decimal"/>
      <w:lvlText w:val=""/>
      <w:lvlJc w:val="left"/>
    </w:lvl>
    <w:lvl w:ilvl="8" w:tplc="849CF50E">
      <w:numFmt w:val="decimal"/>
      <w:lvlText w:val=""/>
      <w:lvlJc w:val="left"/>
    </w:lvl>
  </w:abstractNum>
  <w:abstractNum w:abstractNumId="1">
    <w:nsid w:val="3D1B58BA"/>
    <w:multiLevelType w:val="hybridMultilevel"/>
    <w:tmpl w:val="B6D6E5B4"/>
    <w:lvl w:ilvl="0" w:tplc="B4D62E58">
      <w:start w:val="1"/>
      <w:numFmt w:val="decimal"/>
      <w:lvlText w:val="%1)"/>
      <w:lvlJc w:val="left"/>
    </w:lvl>
    <w:lvl w:ilvl="1" w:tplc="48B830D2">
      <w:numFmt w:val="decimal"/>
      <w:lvlText w:val=""/>
      <w:lvlJc w:val="left"/>
    </w:lvl>
    <w:lvl w:ilvl="2" w:tplc="6A281072">
      <w:numFmt w:val="decimal"/>
      <w:lvlText w:val=""/>
      <w:lvlJc w:val="left"/>
    </w:lvl>
    <w:lvl w:ilvl="3" w:tplc="430447B4">
      <w:numFmt w:val="decimal"/>
      <w:lvlText w:val=""/>
      <w:lvlJc w:val="left"/>
    </w:lvl>
    <w:lvl w:ilvl="4" w:tplc="2946CB56">
      <w:numFmt w:val="decimal"/>
      <w:lvlText w:val=""/>
      <w:lvlJc w:val="left"/>
    </w:lvl>
    <w:lvl w:ilvl="5" w:tplc="3EC2EE22">
      <w:numFmt w:val="decimal"/>
      <w:lvlText w:val=""/>
      <w:lvlJc w:val="left"/>
    </w:lvl>
    <w:lvl w:ilvl="6" w:tplc="4748E800">
      <w:numFmt w:val="decimal"/>
      <w:lvlText w:val=""/>
      <w:lvlJc w:val="left"/>
    </w:lvl>
    <w:lvl w:ilvl="7" w:tplc="D076EDA8">
      <w:numFmt w:val="decimal"/>
      <w:lvlText w:val=""/>
      <w:lvlJc w:val="left"/>
    </w:lvl>
    <w:lvl w:ilvl="8" w:tplc="088A07F8">
      <w:numFmt w:val="decimal"/>
      <w:lvlText w:val=""/>
      <w:lvlJc w:val="left"/>
    </w:lvl>
  </w:abstractNum>
  <w:abstractNum w:abstractNumId="2">
    <w:nsid w:val="41B71EFB"/>
    <w:multiLevelType w:val="hybridMultilevel"/>
    <w:tmpl w:val="ABA20E4A"/>
    <w:lvl w:ilvl="0" w:tplc="9DBCD2F0">
      <w:start w:val="1"/>
      <w:numFmt w:val="bullet"/>
      <w:lvlText w:val="•"/>
      <w:lvlJc w:val="left"/>
    </w:lvl>
    <w:lvl w:ilvl="1" w:tplc="E4843500">
      <w:numFmt w:val="decimal"/>
      <w:lvlText w:val=""/>
      <w:lvlJc w:val="left"/>
    </w:lvl>
    <w:lvl w:ilvl="2" w:tplc="A6C69486">
      <w:numFmt w:val="decimal"/>
      <w:lvlText w:val=""/>
      <w:lvlJc w:val="left"/>
    </w:lvl>
    <w:lvl w:ilvl="3" w:tplc="74B810C4">
      <w:numFmt w:val="decimal"/>
      <w:lvlText w:val=""/>
      <w:lvlJc w:val="left"/>
    </w:lvl>
    <w:lvl w:ilvl="4" w:tplc="A0625024">
      <w:numFmt w:val="decimal"/>
      <w:lvlText w:val=""/>
      <w:lvlJc w:val="left"/>
    </w:lvl>
    <w:lvl w:ilvl="5" w:tplc="CE98527E">
      <w:numFmt w:val="decimal"/>
      <w:lvlText w:val=""/>
      <w:lvlJc w:val="left"/>
    </w:lvl>
    <w:lvl w:ilvl="6" w:tplc="3398C930">
      <w:numFmt w:val="decimal"/>
      <w:lvlText w:val=""/>
      <w:lvlJc w:val="left"/>
    </w:lvl>
    <w:lvl w:ilvl="7" w:tplc="C4F47580">
      <w:numFmt w:val="decimal"/>
      <w:lvlText w:val=""/>
      <w:lvlJc w:val="left"/>
    </w:lvl>
    <w:lvl w:ilvl="8" w:tplc="0CE87FC0">
      <w:numFmt w:val="decimal"/>
      <w:lvlText w:val=""/>
      <w:lvlJc w:val="left"/>
    </w:lvl>
  </w:abstractNum>
  <w:abstractNum w:abstractNumId="3">
    <w:nsid w:val="46E87CCD"/>
    <w:multiLevelType w:val="hybridMultilevel"/>
    <w:tmpl w:val="1EEA6F52"/>
    <w:lvl w:ilvl="0" w:tplc="25EC5620">
      <w:start w:val="1"/>
      <w:numFmt w:val="decimal"/>
      <w:lvlText w:val="%1."/>
      <w:lvlJc w:val="left"/>
    </w:lvl>
    <w:lvl w:ilvl="1" w:tplc="98662B22">
      <w:numFmt w:val="decimal"/>
      <w:lvlText w:val=""/>
      <w:lvlJc w:val="left"/>
    </w:lvl>
    <w:lvl w:ilvl="2" w:tplc="36DE73B8">
      <w:numFmt w:val="decimal"/>
      <w:lvlText w:val=""/>
      <w:lvlJc w:val="left"/>
    </w:lvl>
    <w:lvl w:ilvl="3" w:tplc="E7461434">
      <w:numFmt w:val="decimal"/>
      <w:lvlText w:val=""/>
      <w:lvlJc w:val="left"/>
    </w:lvl>
    <w:lvl w:ilvl="4" w:tplc="5B3EF308">
      <w:numFmt w:val="decimal"/>
      <w:lvlText w:val=""/>
      <w:lvlJc w:val="left"/>
    </w:lvl>
    <w:lvl w:ilvl="5" w:tplc="FC1A0480">
      <w:numFmt w:val="decimal"/>
      <w:lvlText w:val=""/>
      <w:lvlJc w:val="left"/>
    </w:lvl>
    <w:lvl w:ilvl="6" w:tplc="F1BC6E64">
      <w:numFmt w:val="decimal"/>
      <w:lvlText w:val=""/>
      <w:lvlJc w:val="left"/>
    </w:lvl>
    <w:lvl w:ilvl="7" w:tplc="86B8CF5A">
      <w:numFmt w:val="decimal"/>
      <w:lvlText w:val=""/>
      <w:lvlJc w:val="left"/>
    </w:lvl>
    <w:lvl w:ilvl="8" w:tplc="39280FF6">
      <w:numFmt w:val="decimal"/>
      <w:lvlText w:val=""/>
      <w:lvlJc w:val="left"/>
    </w:lvl>
  </w:abstractNum>
  <w:abstractNum w:abstractNumId="4">
    <w:nsid w:val="507ED7AB"/>
    <w:multiLevelType w:val="hybridMultilevel"/>
    <w:tmpl w:val="290C0EAE"/>
    <w:lvl w:ilvl="0" w:tplc="A4668B00">
      <w:start w:val="9"/>
      <w:numFmt w:val="decimal"/>
      <w:lvlText w:val="%1."/>
      <w:lvlJc w:val="left"/>
    </w:lvl>
    <w:lvl w:ilvl="1" w:tplc="E076C130">
      <w:start w:val="1"/>
      <w:numFmt w:val="bullet"/>
      <w:lvlText w:val="•"/>
      <w:lvlJc w:val="left"/>
    </w:lvl>
    <w:lvl w:ilvl="2" w:tplc="CB1203C6">
      <w:numFmt w:val="decimal"/>
      <w:lvlText w:val=""/>
      <w:lvlJc w:val="left"/>
    </w:lvl>
    <w:lvl w:ilvl="3" w:tplc="0C9030D2">
      <w:numFmt w:val="decimal"/>
      <w:lvlText w:val=""/>
      <w:lvlJc w:val="left"/>
    </w:lvl>
    <w:lvl w:ilvl="4" w:tplc="75E09BA0">
      <w:numFmt w:val="decimal"/>
      <w:lvlText w:val=""/>
      <w:lvlJc w:val="left"/>
    </w:lvl>
    <w:lvl w:ilvl="5" w:tplc="CB5619A6">
      <w:numFmt w:val="decimal"/>
      <w:lvlText w:val=""/>
      <w:lvlJc w:val="left"/>
    </w:lvl>
    <w:lvl w:ilvl="6" w:tplc="3E62B5D0">
      <w:numFmt w:val="decimal"/>
      <w:lvlText w:val=""/>
      <w:lvlJc w:val="left"/>
    </w:lvl>
    <w:lvl w:ilvl="7" w:tplc="6F9C4702">
      <w:numFmt w:val="decimal"/>
      <w:lvlText w:val=""/>
      <w:lvlJc w:val="left"/>
    </w:lvl>
    <w:lvl w:ilvl="8" w:tplc="6F660834">
      <w:numFmt w:val="decimal"/>
      <w:lvlText w:val=""/>
      <w:lvlJc w:val="left"/>
    </w:lvl>
  </w:abstractNum>
  <w:abstractNum w:abstractNumId="5">
    <w:nsid w:val="515F007C"/>
    <w:multiLevelType w:val="hybridMultilevel"/>
    <w:tmpl w:val="C728DAB0"/>
    <w:lvl w:ilvl="0" w:tplc="4020765A">
      <w:start w:val="1"/>
      <w:numFmt w:val="bullet"/>
      <w:lvlText w:val="•"/>
      <w:lvlJc w:val="left"/>
    </w:lvl>
    <w:lvl w:ilvl="1" w:tplc="DFCE8D64">
      <w:numFmt w:val="decimal"/>
      <w:lvlText w:val=""/>
      <w:lvlJc w:val="left"/>
    </w:lvl>
    <w:lvl w:ilvl="2" w:tplc="99D85FB0">
      <w:numFmt w:val="decimal"/>
      <w:lvlText w:val=""/>
      <w:lvlJc w:val="left"/>
    </w:lvl>
    <w:lvl w:ilvl="3" w:tplc="3FF4DB0E">
      <w:numFmt w:val="decimal"/>
      <w:lvlText w:val=""/>
      <w:lvlJc w:val="left"/>
    </w:lvl>
    <w:lvl w:ilvl="4" w:tplc="43847990">
      <w:numFmt w:val="decimal"/>
      <w:lvlText w:val=""/>
      <w:lvlJc w:val="left"/>
    </w:lvl>
    <w:lvl w:ilvl="5" w:tplc="297AA886">
      <w:numFmt w:val="decimal"/>
      <w:lvlText w:val=""/>
      <w:lvlJc w:val="left"/>
    </w:lvl>
    <w:lvl w:ilvl="6" w:tplc="91C23076">
      <w:numFmt w:val="decimal"/>
      <w:lvlText w:val=""/>
      <w:lvlJc w:val="left"/>
    </w:lvl>
    <w:lvl w:ilvl="7" w:tplc="87FA2274">
      <w:numFmt w:val="decimal"/>
      <w:lvlText w:val=""/>
      <w:lvlJc w:val="left"/>
    </w:lvl>
    <w:lvl w:ilvl="8" w:tplc="1DD00E00">
      <w:numFmt w:val="decimal"/>
      <w:lvlText w:val=""/>
      <w:lvlJc w:val="left"/>
    </w:lvl>
  </w:abstractNum>
  <w:abstractNum w:abstractNumId="6">
    <w:nsid w:val="5BD062C2"/>
    <w:multiLevelType w:val="hybridMultilevel"/>
    <w:tmpl w:val="513E3FBC"/>
    <w:lvl w:ilvl="0" w:tplc="8D30DCEA">
      <w:start w:val="25"/>
      <w:numFmt w:val="lowerLetter"/>
      <w:lvlText w:val="%1"/>
      <w:lvlJc w:val="left"/>
    </w:lvl>
    <w:lvl w:ilvl="1" w:tplc="B630CC4A">
      <w:numFmt w:val="decimal"/>
      <w:lvlText w:val=""/>
      <w:lvlJc w:val="left"/>
    </w:lvl>
    <w:lvl w:ilvl="2" w:tplc="E7509D4E">
      <w:numFmt w:val="decimal"/>
      <w:lvlText w:val=""/>
      <w:lvlJc w:val="left"/>
    </w:lvl>
    <w:lvl w:ilvl="3" w:tplc="651202AC">
      <w:numFmt w:val="decimal"/>
      <w:lvlText w:val=""/>
      <w:lvlJc w:val="left"/>
    </w:lvl>
    <w:lvl w:ilvl="4" w:tplc="EB689F60">
      <w:numFmt w:val="decimal"/>
      <w:lvlText w:val=""/>
      <w:lvlJc w:val="left"/>
    </w:lvl>
    <w:lvl w:ilvl="5" w:tplc="AB9A9CDE">
      <w:numFmt w:val="decimal"/>
      <w:lvlText w:val=""/>
      <w:lvlJc w:val="left"/>
    </w:lvl>
    <w:lvl w:ilvl="6" w:tplc="7B5A9FC2">
      <w:numFmt w:val="decimal"/>
      <w:lvlText w:val=""/>
      <w:lvlJc w:val="left"/>
    </w:lvl>
    <w:lvl w:ilvl="7" w:tplc="65003C0E">
      <w:numFmt w:val="decimal"/>
      <w:lvlText w:val=""/>
      <w:lvlJc w:val="left"/>
    </w:lvl>
    <w:lvl w:ilvl="8" w:tplc="3E6E5C44">
      <w:numFmt w:val="decimal"/>
      <w:lvlText w:val=""/>
      <w:lvlJc w:val="left"/>
    </w:lvl>
  </w:abstractNum>
  <w:abstractNum w:abstractNumId="7">
    <w:nsid w:val="7545E146"/>
    <w:multiLevelType w:val="hybridMultilevel"/>
    <w:tmpl w:val="717AC54A"/>
    <w:lvl w:ilvl="0" w:tplc="568CAE82">
      <w:start w:val="12"/>
      <w:numFmt w:val="decimal"/>
      <w:lvlText w:val="%1."/>
      <w:lvlJc w:val="left"/>
    </w:lvl>
    <w:lvl w:ilvl="1" w:tplc="3D869E32">
      <w:start w:val="1"/>
      <w:numFmt w:val="bullet"/>
      <w:lvlText w:val="•"/>
      <w:lvlJc w:val="left"/>
    </w:lvl>
    <w:lvl w:ilvl="2" w:tplc="672805A2">
      <w:numFmt w:val="decimal"/>
      <w:lvlText w:val=""/>
      <w:lvlJc w:val="left"/>
    </w:lvl>
    <w:lvl w:ilvl="3" w:tplc="53820012">
      <w:numFmt w:val="decimal"/>
      <w:lvlText w:val=""/>
      <w:lvlJc w:val="left"/>
    </w:lvl>
    <w:lvl w:ilvl="4" w:tplc="FE966582">
      <w:numFmt w:val="decimal"/>
      <w:lvlText w:val=""/>
      <w:lvlJc w:val="left"/>
    </w:lvl>
    <w:lvl w:ilvl="5" w:tplc="A90CD08E">
      <w:numFmt w:val="decimal"/>
      <w:lvlText w:val=""/>
      <w:lvlJc w:val="left"/>
    </w:lvl>
    <w:lvl w:ilvl="6" w:tplc="83C00562">
      <w:numFmt w:val="decimal"/>
      <w:lvlText w:val=""/>
      <w:lvlJc w:val="left"/>
    </w:lvl>
    <w:lvl w:ilvl="7" w:tplc="E086F418">
      <w:numFmt w:val="decimal"/>
      <w:lvlText w:val=""/>
      <w:lvlJc w:val="left"/>
    </w:lvl>
    <w:lvl w:ilvl="8" w:tplc="CFB26254">
      <w:numFmt w:val="decimal"/>
      <w:lvlText w:val=""/>
      <w:lvlJc w:val="left"/>
    </w:lvl>
  </w:abstractNum>
  <w:abstractNum w:abstractNumId="8">
    <w:nsid w:val="79E2A9E3"/>
    <w:multiLevelType w:val="hybridMultilevel"/>
    <w:tmpl w:val="548A85C2"/>
    <w:lvl w:ilvl="0" w:tplc="F27AB16E">
      <w:start w:val="10"/>
      <w:numFmt w:val="decimal"/>
      <w:lvlText w:val="%1."/>
      <w:lvlJc w:val="left"/>
    </w:lvl>
    <w:lvl w:ilvl="1" w:tplc="41CA304E">
      <w:start w:val="1"/>
      <w:numFmt w:val="bullet"/>
      <w:lvlText w:val="•"/>
      <w:lvlJc w:val="left"/>
    </w:lvl>
    <w:lvl w:ilvl="2" w:tplc="AAE4982A">
      <w:numFmt w:val="decimal"/>
      <w:lvlText w:val=""/>
      <w:lvlJc w:val="left"/>
    </w:lvl>
    <w:lvl w:ilvl="3" w:tplc="29D67390">
      <w:numFmt w:val="decimal"/>
      <w:lvlText w:val=""/>
      <w:lvlJc w:val="left"/>
    </w:lvl>
    <w:lvl w:ilvl="4" w:tplc="E7207AA8">
      <w:numFmt w:val="decimal"/>
      <w:lvlText w:val=""/>
      <w:lvlJc w:val="left"/>
    </w:lvl>
    <w:lvl w:ilvl="5" w:tplc="DD70A1DE">
      <w:numFmt w:val="decimal"/>
      <w:lvlText w:val=""/>
      <w:lvlJc w:val="left"/>
    </w:lvl>
    <w:lvl w:ilvl="6" w:tplc="3ED600B0">
      <w:numFmt w:val="decimal"/>
      <w:lvlText w:val=""/>
      <w:lvlJc w:val="left"/>
    </w:lvl>
    <w:lvl w:ilvl="7" w:tplc="A09AA17C">
      <w:numFmt w:val="decimal"/>
      <w:lvlText w:val=""/>
      <w:lvlJc w:val="left"/>
    </w:lvl>
    <w:lvl w:ilvl="8" w:tplc="9A3C7546">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6B"/>
    <w:rsid w:val="005E3D22"/>
    <w:rsid w:val="00F7366B"/>
    <w:rsid w:val="00F8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BEFE9-BBF7-48C4-A6AD-F467430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antalya.uab.es/athenea/num8/siniguez.pdf"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dx.doi.org/10.5565/rev/athenea.123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3040</Words>
  <Characters>16724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 de Windows</cp:lastModifiedBy>
  <cp:revision>2</cp:revision>
  <dcterms:created xsi:type="dcterms:W3CDTF">2019-11-19T13:29:00Z</dcterms:created>
  <dcterms:modified xsi:type="dcterms:W3CDTF">2019-11-19T13:29:00Z</dcterms:modified>
</cp:coreProperties>
</file>