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405"/>
        <w:gridCol w:w="2406"/>
      </w:tblGrid>
      <w:tr w:rsidR="008D7289" w:rsidRPr="004C7E5B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5F7074" w:rsidRDefault="005F7074" w:rsidP="005F70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CURSO /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SEMESTRE 2019</w:t>
            </w:r>
          </w:p>
          <w:p w:rsidR="008D7289" w:rsidRPr="004C7E5B" w:rsidRDefault="005F7074" w:rsidP="005F7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</w:tc>
      </w:tr>
      <w:tr w:rsidR="008D7289" w:rsidRPr="004C7E5B" w:rsidTr="008D7289">
        <w:trPr>
          <w:jc w:val="center"/>
        </w:trPr>
        <w:tc>
          <w:tcPr>
            <w:tcW w:w="9054" w:type="dxa"/>
            <w:gridSpan w:val="3"/>
          </w:tcPr>
          <w:p w:rsidR="008D7289" w:rsidRPr="004C7E5B" w:rsidRDefault="008D7289" w:rsidP="00C11CE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:rsidR="008D7289" w:rsidRPr="005F7074" w:rsidRDefault="002971E9" w:rsidP="00297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074">
              <w:rPr>
                <w:rFonts w:ascii="Arial" w:hAnsi="Arial" w:cs="Arial"/>
                <w:sz w:val="24"/>
                <w:szCs w:val="24"/>
              </w:rPr>
              <w:t>Pedagogía para las infancias: Transiciones y articulación curricular</w:t>
            </w:r>
          </w:p>
        </w:tc>
      </w:tr>
      <w:tr w:rsidR="008D7289" w:rsidRPr="00AF042A" w:rsidTr="008D7289">
        <w:trPr>
          <w:jc w:val="center"/>
        </w:trPr>
        <w:tc>
          <w:tcPr>
            <w:tcW w:w="9054" w:type="dxa"/>
            <w:gridSpan w:val="3"/>
          </w:tcPr>
          <w:p w:rsidR="008D7289" w:rsidRPr="004C7E5B" w:rsidRDefault="008D7289" w:rsidP="008337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:rsidR="008D7289" w:rsidRPr="00AF042A" w:rsidRDefault="002971E9" w:rsidP="00297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042A">
              <w:rPr>
                <w:rFonts w:ascii="Arial" w:hAnsi="Arial" w:cs="Arial"/>
                <w:sz w:val="24"/>
                <w:szCs w:val="24"/>
                <w:lang w:val="en-US"/>
              </w:rPr>
              <w:t>Pedagogy for childhood: Transitions and curriculum articulation</w:t>
            </w:r>
          </w:p>
        </w:tc>
      </w:tr>
      <w:tr w:rsidR="008D7289" w:rsidRPr="004C7E5B" w:rsidTr="008D7289">
        <w:trPr>
          <w:jc w:val="center"/>
        </w:trPr>
        <w:tc>
          <w:tcPr>
            <w:tcW w:w="9054" w:type="dxa"/>
            <w:gridSpan w:val="3"/>
          </w:tcPr>
          <w:p w:rsidR="008D7289" w:rsidRPr="004C7E5B" w:rsidRDefault="008D728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8D7289" w:rsidRPr="004C7E5B" w:rsidRDefault="0083379E" w:rsidP="008D7289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Departamento de Educación </w:t>
            </w:r>
          </w:p>
        </w:tc>
      </w:tr>
      <w:tr w:rsidR="00C11CEE" w:rsidRPr="004C7E5B" w:rsidTr="005F7074">
        <w:trPr>
          <w:jc w:val="center"/>
        </w:trPr>
        <w:tc>
          <w:tcPr>
            <w:tcW w:w="4307" w:type="dxa"/>
          </w:tcPr>
          <w:p w:rsidR="00C11CEE" w:rsidRPr="004C7E5B" w:rsidRDefault="00C11CEE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73" w:type="dxa"/>
          </w:tcPr>
          <w:p w:rsidR="00C11CEE" w:rsidRPr="004C7E5B" w:rsidRDefault="00C11CEE" w:rsidP="00C11CEE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r w:rsidR="004D7083" w:rsidRPr="004C7E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11CEE" w:rsidRPr="004C7E5B" w:rsidRDefault="00C11CEE" w:rsidP="008D7289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no presencial</w:t>
            </w:r>
            <w:r w:rsidR="004D7083" w:rsidRPr="004C7E5B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8D7289" w:rsidRPr="004C7E5B" w:rsidTr="005F7074">
        <w:trPr>
          <w:jc w:val="center"/>
        </w:trPr>
        <w:tc>
          <w:tcPr>
            <w:tcW w:w="4307" w:type="dxa"/>
          </w:tcPr>
          <w:p w:rsidR="00C11CEE" w:rsidRPr="004C7E5B" w:rsidRDefault="008D7289" w:rsidP="004D7083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5. Tipo de créditos</w:t>
            </w:r>
          </w:p>
        </w:tc>
        <w:tc>
          <w:tcPr>
            <w:tcW w:w="4747" w:type="dxa"/>
            <w:gridSpan w:val="2"/>
          </w:tcPr>
          <w:p w:rsidR="008D7289" w:rsidRPr="004C7E5B" w:rsidRDefault="00515FED" w:rsidP="008D72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SCT</w:t>
            </w:r>
          </w:p>
        </w:tc>
      </w:tr>
      <w:tr w:rsidR="008D7289" w:rsidRPr="004C7E5B" w:rsidTr="005F7074">
        <w:trPr>
          <w:jc w:val="center"/>
        </w:trPr>
        <w:tc>
          <w:tcPr>
            <w:tcW w:w="4307" w:type="dxa"/>
          </w:tcPr>
          <w:p w:rsidR="00C11CEE" w:rsidRPr="004C7E5B" w:rsidRDefault="008D7289" w:rsidP="004D7083">
            <w:pPr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 xml:space="preserve">5. Número de créditos SCT </w:t>
            </w:r>
            <w:r w:rsidR="00C11CEE" w:rsidRPr="004C7E5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C7E5B">
              <w:rPr>
                <w:rFonts w:ascii="Arial" w:hAnsi="Arial" w:cs="Arial"/>
                <w:b/>
                <w:sz w:val="24"/>
                <w:szCs w:val="24"/>
              </w:rPr>
              <w:t xml:space="preserve"> Chile</w:t>
            </w:r>
          </w:p>
        </w:tc>
        <w:tc>
          <w:tcPr>
            <w:tcW w:w="4747" w:type="dxa"/>
            <w:gridSpan w:val="2"/>
          </w:tcPr>
          <w:p w:rsidR="008D7289" w:rsidRPr="004C7E5B" w:rsidRDefault="002971E9" w:rsidP="008D72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C11CEE" w:rsidRPr="004C7E5B" w:rsidTr="005F7074">
        <w:trPr>
          <w:jc w:val="center"/>
        </w:trPr>
        <w:tc>
          <w:tcPr>
            <w:tcW w:w="4307" w:type="dxa"/>
          </w:tcPr>
          <w:p w:rsidR="00C11CEE" w:rsidRPr="004C7E5B" w:rsidRDefault="00C11CEE" w:rsidP="00736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5F7074" w:rsidRPr="004C7E5B">
              <w:rPr>
                <w:rFonts w:ascii="Arial" w:hAnsi="Arial" w:cs="Arial"/>
                <w:b/>
                <w:sz w:val="24"/>
                <w:szCs w:val="24"/>
              </w:rPr>
              <w:t>Prerrequisitos</w:t>
            </w:r>
            <w:r w:rsidR="00736466" w:rsidRPr="004C7E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2"/>
          </w:tcPr>
          <w:p w:rsidR="00C11CEE" w:rsidRPr="004C7E5B" w:rsidRDefault="004C7E5B" w:rsidP="00297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Currículo</w:t>
            </w:r>
            <w:r w:rsidR="002971E9" w:rsidRPr="004C7E5B">
              <w:rPr>
                <w:rFonts w:ascii="Arial" w:hAnsi="Arial" w:cs="Arial"/>
                <w:sz w:val="24"/>
                <w:szCs w:val="24"/>
              </w:rPr>
              <w:t xml:space="preserve"> y didáctica en la educación parvularia</w:t>
            </w:r>
          </w:p>
        </w:tc>
      </w:tr>
      <w:tr w:rsidR="008D7289" w:rsidRPr="004C7E5B" w:rsidTr="005F7074">
        <w:trPr>
          <w:jc w:val="center"/>
        </w:trPr>
        <w:tc>
          <w:tcPr>
            <w:tcW w:w="4307" w:type="dxa"/>
          </w:tcPr>
          <w:p w:rsidR="008D7289" w:rsidRPr="004C7E5B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D7289" w:rsidRPr="004C7E5B">
              <w:rPr>
                <w:rFonts w:ascii="Arial" w:hAnsi="Arial" w:cs="Arial"/>
                <w:b/>
                <w:sz w:val="24"/>
                <w:szCs w:val="24"/>
              </w:rPr>
              <w:t>. Propósito general del curso</w:t>
            </w:r>
          </w:p>
          <w:p w:rsidR="00736466" w:rsidRPr="004C7E5B" w:rsidRDefault="00736466" w:rsidP="002971E9">
            <w:pPr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8D7289" w:rsidRPr="004C7E5B" w:rsidRDefault="002971E9" w:rsidP="00297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El curso propone comprender los procesos de aprendizaje y desarrollo involucrados en las transiciones educativas que tienen lugar durante la primera infancia. Supone el diseño e implementación de propuestas pedagógicas que articulen el desarrollo de experiencias de aprendizaje entre los diferentes ciclos y contextos educativos respondiendo a las necesidades y características de cada niño y su diversidad social y cultural.</w:t>
            </w:r>
          </w:p>
        </w:tc>
      </w:tr>
      <w:tr w:rsidR="002971E9" w:rsidRPr="004C7E5B" w:rsidTr="005F7074">
        <w:trPr>
          <w:jc w:val="center"/>
        </w:trPr>
        <w:tc>
          <w:tcPr>
            <w:tcW w:w="4307" w:type="dxa"/>
          </w:tcPr>
          <w:p w:rsidR="002971E9" w:rsidRPr="004C7E5B" w:rsidRDefault="002971E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8. Competencias a las que contribuye el curso</w:t>
            </w:r>
          </w:p>
          <w:p w:rsidR="002971E9" w:rsidRPr="004C7E5B" w:rsidRDefault="002971E9" w:rsidP="008D7289">
            <w:pPr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2971E9" w:rsidRPr="004C7E5B" w:rsidRDefault="002971E9" w:rsidP="002F43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Ámbito I: Niño, infancia y aprendizaje</w:t>
            </w:r>
          </w:p>
          <w:p w:rsidR="002971E9" w:rsidRPr="004C7E5B" w:rsidRDefault="002971E9" w:rsidP="002F43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2971E9" w:rsidRPr="004C7E5B" w:rsidRDefault="002971E9" w:rsidP="002F43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I.2 Articular en su propuesta pedagógica experiencias de carácter lúdico que favorezcan el desarrollo, aprendizaje y </w:t>
            </w:r>
            <w:r w:rsidRPr="004C7E5B">
              <w:rPr>
                <w:rFonts w:ascii="Arial" w:hAnsi="Arial" w:cs="Arial"/>
                <w:sz w:val="24"/>
                <w:szCs w:val="24"/>
              </w:rPr>
              <w:lastRenderedPageBreak/>
              <w:t>bienestar del niño, sustentadas en la comprensión teórica y práctica de estos procesos durante la primera infancia.</w:t>
            </w:r>
          </w:p>
        </w:tc>
      </w:tr>
      <w:tr w:rsidR="002971E9" w:rsidRPr="004C7E5B" w:rsidTr="005F7074">
        <w:trPr>
          <w:jc w:val="center"/>
        </w:trPr>
        <w:tc>
          <w:tcPr>
            <w:tcW w:w="4307" w:type="dxa"/>
          </w:tcPr>
          <w:p w:rsidR="002971E9" w:rsidRPr="004C7E5B" w:rsidRDefault="002971E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lastRenderedPageBreak/>
              <w:t>9. Subcompetencias</w:t>
            </w:r>
          </w:p>
          <w:p w:rsidR="002971E9" w:rsidRPr="004C7E5B" w:rsidRDefault="002971E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vAlign w:val="center"/>
          </w:tcPr>
          <w:p w:rsidR="002971E9" w:rsidRPr="004C7E5B" w:rsidRDefault="002971E9" w:rsidP="00297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I.2.1 Implementar propuestas pedagógicas lúdicas que favorezcan el bienestar, el desarrollo y el aprendizaje del niño, en los diferentes contextos educativos en que participa.</w:t>
            </w:r>
          </w:p>
          <w:p w:rsidR="002971E9" w:rsidRPr="004C7E5B" w:rsidRDefault="002971E9" w:rsidP="00297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I.2.2 Implementar propuestas pedagógicas que favorezcan el desarrollo y aprendizaje motor, cognitivo, socio-afectivo y valórico del niño de manera equilibrada, en los diferentes contextos educativos en que participa.</w:t>
            </w:r>
          </w:p>
        </w:tc>
      </w:tr>
      <w:tr w:rsidR="002971E9" w:rsidRPr="004C7E5B" w:rsidTr="005F7074">
        <w:trPr>
          <w:jc w:val="center"/>
        </w:trPr>
        <w:tc>
          <w:tcPr>
            <w:tcW w:w="4307" w:type="dxa"/>
          </w:tcPr>
          <w:p w:rsidR="002971E9" w:rsidRPr="004C7E5B" w:rsidRDefault="002971E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10. Resultados de Aprendizaje</w:t>
            </w:r>
          </w:p>
          <w:p w:rsidR="002971E9" w:rsidRPr="004C7E5B" w:rsidRDefault="002971E9" w:rsidP="007F2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vAlign w:val="center"/>
          </w:tcPr>
          <w:p w:rsidR="00673962" w:rsidRDefault="007F2F3E" w:rsidP="00673962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Argumentar la importancia de favorecer las Transiciones educativas </w:t>
            </w:r>
            <w:r w:rsidRPr="00673962">
              <w:rPr>
                <w:rFonts w:ascii="Arial" w:hAnsi="Arial" w:cs="Arial"/>
                <w:sz w:val="24"/>
                <w:szCs w:val="24"/>
              </w:rPr>
              <w:t>que tienen lugar durante la primera infancia en base a aspectos teóricos de manera de</w:t>
            </w:r>
            <w:r>
              <w:rPr>
                <w:rFonts w:ascii="Arial" w:hAnsi="Arial" w:cs="Arial"/>
                <w:sz w:val="24"/>
                <w:szCs w:val="24"/>
              </w:rPr>
              <w:t xml:space="preserve"> sensibilizar y favorecerlas en los ambientes educativos en que participe.</w:t>
            </w:r>
          </w:p>
          <w:p w:rsidR="002971E9" w:rsidRPr="00673962" w:rsidRDefault="00673962" w:rsidP="00673962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962">
              <w:rPr>
                <w:rFonts w:ascii="Arial" w:hAnsi="Arial" w:cs="Arial"/>
                <w:sz w:val="24"/>
                <w:szCs w:val="24"/>
              </w:rPr>
              <w:t xml:space="preserve">Diseñar e implementar </w:t>
            </w:r>
            <w:r w:rsidR="00F376A6" w:rsidRPr="00673962">
              <w:rPr>
                <w:rFonts w:ascii="Arial" w:hAnsi="Arial" w:cs="Arial"/>
                <w:sz w:val="24"/>
                <w:szCs w:val="24"/>
              </w:rPr>
              <w:t xml:space="preserve">propuestas </w:t>
            </w:r>
            <w:r w:rsidR="007F2F3E" w:rsidRPr="00673962">
              <w:rPr>
                <w:rFonts w:ascii="Arial" w:hAnsi="Arial" w:cs="Arial"/>
                <w:sz w:val="24"/>
                <w:szCs w:val="24"/>
              </w:rPr>
              <w:t xml:space="preserve">pedagógicas </w:t>
            </w:r>
            <w:r w:rsidR="00F376A6" w:rsidRPr="006739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F3E" w:rsidRPr="00673962">
              <w:rPr>
                <w:rFonts w:ascii="Arial" w:hAnsi="Arial" w:cs="Arial"/>
                <w:sz w:val="24"/>
                <w:szCs w:val="24"/>
              </w:rPr>
              <w:t xml:space="preserve">entre niveles desde el jardín infantil o con la Educación Básica </w:t>
            </w:r>
            <w:r w:rsidR="00F376A6" w:rsidRPr="00673962">
              <w:rPr>
                <w:rFonts w:ascii="Arial" w:hAnsi="Arial" w:cs="Arial"/>
                <w:sz w:val="24"/>
                <w:szCs w:val="24"/>
              </w:rPr>
              <w:t xml:space="preserve">para promover </w:t>
            </w:r>
            <w:r w:rsidRPr="00673962">
              <w:rPr>
                <w:rFonts w:ascii="Arial" w:hAnsi="Arial" w:cs="Arial"/>
                <w:sz w:val="24"/>
                <w:szCs w:val="24"/>
              </w:rPr>
              <w:t xml:space="preserve">la articulación y las transiciones, </w:t>
            </w:r>
            <w:r w:rsidR="00F376A6" w:rsidRPr="0067396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73962">
              <w:rPr>
                <w:rFonts w:ascii="Arial" w:hAnsi="Arial" w:cs="Arial"/>
                <w:sz w:val="24"/>
                <w:szCs w:val="24"/>
              </w:rPr>
              <w:t>respondiendo a las necesidades y características de cada niño y su diversidad social y cultural</w:t>
            </w:r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Pr="004C7E5B" w:rsidRDefault="002971E9" w:rsidP="00C11CEE">
            <w:pPr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11. Saberes / contenidos</w:t>
            </w:r>
          </w:p>
          <w:p w:rsidR="002971E9" w:rsidRPr="00673962" w:rsidRDefault="002971E9" w:rsidP="00766F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i/>
                <w:color w:val="808080"/>
                <w:sz w:val="24"/>
                <w:szCs w:val="24"/>
              </w:rPr>
              <w:t xml:space="preserve"> </w:t>
            </w:r>
            <w:r w:rsidR="00766F04" w:rsidRPr="00673962">
              <w:rPr>
                <w:rFonts w:ascii="Arial" w:hAnsi="Arial" w:cs="Arial"/>
                <w:b/>
                <w:sz w:val="24"/>
                <w:szCs w:val="24"/>
              </w:rPr>
              <w:t>Unidad I: Marco teórico conceptual</w:t>
            </w:r>
          </w:p>
          <w:p w:rsidR="00766F04" w:rsidRPr="004C7E5B" w:rsidRDefault="00766F04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Las transiciones vistas desde las distintas disciplinas</w:t>
            </w:r>
          </w:p>
          <w:p w:rsidR="00766F04" w:rsidRPr="004C7E5B" w:rsidRDefault="00766F04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Conceptualizaciones de transiciones y articulación en la primera infancia</w:t>
            </w:r>
          </w:p>
          <w:p w:rsidR="00766F04" w:rsidRPr="004C7E5B" w:rsidRDefault="00766F04" w:rsidP="00766F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Unidad II: Tipos de Transiciones</w:t>
            </w:r>
          </w:p>
          <w:p w:rsidR="00766F04" w:rsidRPr="004C7E5B" w:rsidRDefault="00766F04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lastRenderedPageBreak/>
              <w:t>La transición desde el hogar al centro o programa de cuidado</w:t>
            </w:r>
            <w:r w:rsidRPr="004C7E5B">
              <w:rPr>
                <w:rFonts w:ascii="Arial" w:hAnsi="Arial" w:cs="Arial"/>
                <w:sz w:val="24"/>
                <w:szCs w:val="24"/>
              </w:rPr>
              <w:cr/>
            </w:r>
            <w:r w:rsidR="00F215DF" w:rsidRPr="004C7E5B">
              <w:rPr>
                <w:rFonts w:ascii="Arial" w:hAnsi="Arial" w:cs="Arial"/>
                <w:sz w:val="24"/>
                <w:szCs w:val="24"/>
              </w:rPr>
              <w:t xml:space="preserve">La transición desde la Educación Parvularia a la Educación Básica </w:t>
            </w:r>
          </w:p>
          <w:p w:rsidR="00766F04" w:rsidRPr="004C7E5B" w:rsidRDefault="00F215DF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Factores que influyen en las transiciones</w:t>
            </w:r>
          </w:p>
          <w:p w:rsidR="004C7E5B" w:rsidRPr="004C7E5B" w:rsidRDefault="004C7E5B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Trabajo con las familias en función de las transiciones</w:t>
            </w:r>
          </w:p>
          <w:p w:rsidR="0090064F" w:rsidRPr="004C7E5B" w:rsidRDefault="0090064F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5DF" w:rsidRPr="004C7E5B" w:rsidRDefault="00F215DF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Unidad III Política pública  y articulación</w:t>
            </w:r>
          </w:p>
          <w:p w:rsidR="00F215DF" w:rsidRPr="004C7E5B" w:rsidRDefault="0090064F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Análisis de resolución excenta 11636 y políticas vigentes al respecto</w:t>
            </w:r>
          </w:p>
          <w:p w:rsidR="0090064F" w:rsidRPr="004C7E5B" w:rsidRDefault="0090064F" w:rsidP="00766F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Revisión de la Ley de Educación 20370</w:t>
            </w:r>
          </w:p>
          <w:p w:rsidR="00F215DF" w:rsidRPr="004C7E5B" w:rsidRDefault="00F215DF" w:rsidP="00766F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5DF" w:rsidRPr="004C7E5B" w:rsidRDefault="00F215DF" w:rsidP="00F215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Unidad IV:  La articulación curricular desde las prácticas pedagógicas</w:t>
            </w:r>
            <w:r w:rsidRPr="004C7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064F" w:rsidRPr="004C7E5B" w:rsidRDefault="0090064F" w:rsidP="00F215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Prácticas pedagógicas y concepciones de infancia entre niveles de Educación Parvularia y de Básica</w:t>
            </w:r>
          </w:p>
          <w:p w:rsidR="00F215DF" w:rsidRPr="004C7E5B" w:rsidRDefault="00F215DF" w:rsidP="00F215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Experiencias exitosas</w:t>
            </w:r>
            <w:r w:rsidR="0090064F" w:rsidRPr="004C7E5B">
              <w:rPr>
                <w:rFonts w:ascii="Arial" w:hAnsi="Arial" w:cs="Arial"/>
                <w:sz w:val="24"/>
                <w:szCs w:val="24"/>
              </w:rPr>
              <w:t xml:space="preserve"> de los diferentes niveles educativas</w:t>
            </w:r>
          </w:p>
          <w:p w:rsidR="0090064F" w:rsidRPr="004C7E5B" w:rsidRDefault="0090064F" w:rsidP="00F215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Pr="004C7E5B" w:rsidRDefault="002971E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lastRenderedPageBreak/>
              <w:t>12. Metodología</w:t>
            </w:r>
          </w:p>
          <w:p w:rsidR="00673962" w:rsidRDefault="00F376A6" w:rsidP="002721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Durante este curso se alternan clases expositivas, talleres de reflexión pedagógica, trabajo grupal, presentación de registros de experiencias, observación de experiencias de aulas, nudos críticos de la prác</w:t>
            </w:r>
            <w:r w:rsidR="00673962">
              <w:rPr>
                <w:rFonts w:ascii="Arial" w:hAnsi="Arial" w:cs="Arial"/>
                <w:sz w:val="24"/>
                <w:szCs w:val="24"/>
              </w:rPr>
              <w:t xml:space="preserve">tica pedagógica, con foco en las transiciones y la articulación curricular. </w:t>
            </w:r>
          </w:p>
          <w:p w:rsidR="00673962" w:rsidRDefault="00673962" w:rsidP="002721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376A6" w:rsidRPr="004C7E5B">
              <w:rPr>
                <w:rFonts w:ascii="Arial" w:hAnsi="Arial" w:cs="Arial"/>
                <w:sz w:val="24"/>
                <w:szCs w:val="24"/>
              </w:rPr>
              <w:t>e revisan videos y páginas web con temas referidos a la</w:t>
            </w:r>
            <w:r>
              <w:rPr>
                <w:rFonts w:ascii="Arial" w:hAnsi="Arial" w:cs="Arial"/>
                <w:sz w:val="24"/>
                <w:szCs w:val="24"/>
              </w:rPr>
              <w:t>s transiciones, además de analizar aspectos legales vigentes al respecto.</w:t>
            </w:r>
          </w:p>
          <w:p w:rsidR="00673962" w:rsidRDefault="00673962" w:rsidP="002721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F376A6" w:rsidRPr="004C7E5B">
              <w:rPr>
                <w:rFonts w:ascii="Arial" w:hAnsi="Arial" w:cs="Arial"/>
                <w:sz w:val="24"/>
                <w:szCs w:val="24"/>
              </w:rPr>
              <w:t>os estudiantes realizan búsquedas bibliográficas</w:t>
            </w:r>
            <w:r>
              <w:rPr>
                <w:rFonts w:ascii="Arial" w:hAnsi="Arial" w:cs="Arial"/>
                <w:sz w:val="24"/>
                <w:szCs w:val="24"/>
              </w:rPr>
              <w:t>, llevarán casos detectados en las prácticas pedagógicas que han experimentado en su proceso formativo como en su historia de vida.</w:t>
            </w:r>
          </w:p>
          <w:p w:rsidR="002971E9" w:rsidRPr="004C7E5B" w:rsidRDefault="00F376A6" w:rsidP="005F70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 Como actividad final se presentarán propuestas pedagógicas para </w:t>
            </w:r>
            <w:r w:rsidR="00673962">
              <w:rPr>
                <w:rFonts w:ascii="Arial" w:hAnsi="Arial" w:cs="Arial"/>
                <w:sz w:val="24"/>
                <w:szCs w:val="24"/>
              </w:rPr>
              <w:t xml:space="preserve">tanto transiciones como articulación entre niveles de la educación parvularia como también en la educación básica </w:t>
            </w:r>
            <w:r w:rsidR="004B79C8">
              <w:rPr>
                <w:rFonts w:ascii="Arial" w:hAnsi="Arial" w:cs="Arial"/>
                <w:sz w:val="24"/>
                <w:szCs w:val="24"/>
              </w:rPr>
              <w:t xml:space="preserve">invitando a educadoras/profesoras, para que posteriormente innoven las estudiantes </w:t>
            </w:r>
            <w:r w:rsidR="00673962">
              <w:rPr>
                <w:rFonts w:ascii="Arial" w:hAnsi="Arial" w:cs="Arial"/>
                <w:sz w:val="24"/>
                <w:szCs w:val="24"/>
              </w:rPr>
              <w:t xml:space="preserve">según la actividad de práctica que estén vivenciando, para lo cual se articulará internamente con esta otra actividad curricular.  </w:t>
            </w:r>
            <w:r w:rsidRPr="004C7E5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Default="002971E9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lastRenderedPageBreak/>
              <w:t>13. Evaluación</w:t>
            </w:r>
          </w:p>
          <w:p w:rsidR="00673962" w:rsidRPr="004C7E5B" w:rsidRDefault="00673962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962">
              <w:rPr>
                <w:rFonts w:ascii="Arial" w:hAnsi="Arial" w:cs="Arial"/>
                <w:b/>
                <w:sz w:val="24"/>
                <w:szCs w:val="24"/>
              </w:rPr>
              <w:t>Unidad I:</w:t>
            </w:r>
          </w:p>
          <w:p w:rsidR="00F376A6" w:rsidRPr="004C7E5B" w:rsidRDefault="00F376A6" w:rsidP="00F376A6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1. Prueba</w:t>
            </w:r>
            <w:r w:rsidR="00673962">
              <w:rPr>
                <w:rFonts w:ascii="Arial" w:hAnsi="Arial" w:cs="Arial"/>
                <w:sz w:val="24"/>
                <w:szCs w:val="24"/>
              </w:rPr>
              <w:t xml:space="preserve"> teórica con enfoque constructivista: </w:t>
            </w:r>
            <w:r w:rsidR="004B79C8">
              <w:rPr>
                <w:rFonts w:ascii="Arial" w:hAnsi="Arial" w:cs="Arial"/>
                <w:sz w:val="24"/>
                <w:szCs w:val="24"/>
              </w:rPr>
              <w:t>25%</w:t>
            </w:r>
            <w:r w:rsidRPr="004C7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76A6" w:rsidRPr="00673962" w:rsidRDefault="00673962" w:rsidP="00F376A6">
            <w:pPr>
              <w:rPr>
                <w:rFonts w:ascii="Arial" w:hAnsi="Arial" w:cs="Arial"/>
                <w:sz w:val="24"/>
                <w:szCs w:val="24"/>
              </w:rPr>
            </w:pPr>
            <w:r w:rsidRPr="00673962">
              <w:rPr>
                <w:rFonts w:ascii="Arial" w:hAnsi="Arial" w:cs="Arial"/>
                <w:b/>
                <w:sz w:val="24"/>
                <w:szCs w:val="24"/>
              </w:rPr>
              <w:t>Unidad II:</w:t>
            </w:r>
          </w:p>
          <w:p w:rsidR="00673962" w:rsidRDefault="004B79C8" w:rsidP="004B7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673962" w:rsidRPr="00673962">
              <w:rPr>
                <w:rFonts w:ascii="Arial" w:hAnsi="Arial" w:cs="Arial"/>
                <w:sz w:val="24"/>
                <w:szCs w:val="24"/>
              </w:rPr>
              <w:t>Análisis de caso</w:t>
            </w:r>
            <w:r w:rsidR="00237050">
              <w:rPr>
                <w:rFonts w:ascii="Arial" w:hAnsi="Arial" w:cs="Arial"/>
                <w:sz w:val="24"/>
                <w:szCs w:val="24"/>
              </w:rPr>
              <w:t xml:space="preserve"> (entrevistas</w:t>
            </w:r>
            <w:r w:rsidR="00673962" w:rsidRPr="00673962">
              <w:rPr>
                <w:rFonts w:ascii="Arial" w:hAnsi="Arial" w:cs="Arial"/>
                <w:sz w:val="24"/>
                <w:szCs w:val="24"/>
              </w:rPr>
              <w:t>: 25%</w:t>
            </w:r>
          </w:p>
          <w:p w:rsidR="004B79C8" w:rsidRPr="004B79C8" w:rsidRDefault="004B79C8" w:rsidP="004B7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9C8">
              <w:rPr>
                <w:rFonts w:ascii="Arial" w:hAnsi="Arial" w:cs="Arial"/>
                <w:b/>
                <w:sz w:val="24"/>
                <w:szCs w:val="24"/>
              </w:rPr>
              <w:t>Unidad III:</w:t>
            </w:r>
          </w:p>
          <w:p w:rsidR="004B79C8" w:rsidRDefault="004B79C8" w:rsidP="004B7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3.Política pública y concreción curricular: 25%</w:t>
            </w:r>
          </w:p>
          <w:p w:rsidR="004B79C8" w:rsidRDefault="004B79C8" w:rsidP="004B79C8">
            <w:pPr>
              <w:rPr>
                <w:rFonts w:ascii="Arial" w:hAnsi="Arial" w:cs="Arial"/>
                <w:sz w:val="24"/>
                <w:szCs w:val="24"/>
              </w:rPr>
            </w:pPr>
            <w:r w:rsidRPr="004B79C8">
              <w:rPr>
                <w:rFonts w:ascii="Arial" w:hAnsi="Arial" w:cs="Arial"/>
                <w:b/>
                <w:sz w:val="24"/>
                <w:szCs w:val="24"/>
              </w:rPr>
              <w:t>Unidad IV: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3962" w:rsidRDefault="00F376A6" w:rsidP="004B79C8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Propuesta </w:t>
            </w:r>
            <w:r w:rsidR="00673962">
              <w:rPr>
                <w:rFonts w:ascii="Arial" w:hAnsi="Arial" w:cs="Arial"/>
                <w:sz w:val="24"/>
                <w:szCs w:val="24"/>
              </w:rPr>
              <w:t>de transición</w:t>
            </w:r>
            <w:r w:rsidR="004B79C8">
              <w:rPr>
                <w:rFonts w:ascii="Arial" w:hAnsi="Arial" w:cs="Arial"/>
                <w:sz w:val="24"/>
                <w:szCs w:val="24"/>
              </w:rPr>
              <w:t xml:space="preserve"> y/ o articulación desde </w:t>
            </w:r>
            <w:r w:rsidR="00782BAD">
              <w:rPr>
                <w:rFonts w:ascii="Arial" w:hAnsi="Arial" w:cs="Arial"/>
                <w:sz w:val="24"/>
                <w:szCs w:val="24"/>
              </w:rPr>
              <w:t>caso investigado</w:t>
            </w:r>
            <w:r w:rsidR="00673962">
              <w:rPr>
                <w:rFonts w:ascii="Arial" w:hAnsi="Arial" w:cs="Arial"/>
                <w:sz w:val="24"/>
                <w:szCs w:val="24"/>
              </w:rPr>
              <w:t>:</w:t>
            </w:r>
            <w:r w:rsidRPr="004C7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79C8">
              <w:rPr>
                <w:rFonts w:ascii="Arial" w:hAnsi="Arial" w:cs="Arial"/>
                <w:sz w:val="24"/>
                <w:szCs w:val="24"/>
              </w:rPr>
              <w:t>25%</w:t>
            </w:r>
            <w:r w:rsidRPr="004C7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76A6" w:rsidRPr="004C7E5B" w:rsidRDefault="00F376A6" w:rsidP="00F376A6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Criterios de evaluación: </w:t>
            </w:r>
          </w:p>
          <w:p w:rsidR="002971E9" w:rsidRPr="00AF042A" w:rsidRDefault="00F376A6" w:rsidP="004B79C8">
            <w:pPr>
              <w:jc w:val="both"/>
              <w:rPr>
                <w:rFonts w:ascii="Arial" w:hAnsi="Arial" w:cs="Arial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Las evaluaciones propuestas tienen por objetivo evidenciar las competencias desarrolladas por las estudiantes durante el curso, a través de </w:t>
            </w:r>
            <w:r w:rsidR="004B79C8">
              <w:rPr>
                <w:rFonts w:ascii="Arial" w:hAnsi="Arial" w:cs="Arial"/>
                <w:sz w:val="24"/>
                <w:szCs w:val="24"/>
              </w:rPr>
              <w:t>diferentes procedimientos.  Para cada una de éstas se desarrollarán pautas y/o matrices de valoración (</w:t>
            </w:r>
            <w:r w:rsidRPr="004C7E5B">
              <w:rPr>
                <w:rFonts w:ascii="Arial" w:hAnsi="Arial" w:cs="Arial"/>
                <w:sz w:val="24"/>
                <w:szCs w:val="24"/>
              </w:rPr>
              <w:t>rúbricas</w:t>
            </w:r>
            <w:r w:rsidR="004B79C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4C7E5B">
              <w:rPr>
                <w:rFonts w:ascii="Arial" w:hAnsi="Arial" w:cs="Arial"/>
                <w:sz w:val="24"/>
                <w:szCs w:val="24"/>
              </w:rPr>
              <w:t xml:space="preserve"> explicitando los distintos niveles de desempeño </w:t>
            </w:r>
            <w:r w:rsidRPr="00AF042A">
              <w:rPr>
                <w:rFonts w:ascii="Arial" w:hAnsi="Arial" w:cs="Arial"/>
              </w:rPr>
              <w:t>distinguiendo las dimensiones del aprendizaje a evaluar.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 xml:space="preserve">Criterios de evaluación: 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>En general y para cada trabajo se construirán las pautas de evaluación con las estudiantes, dichas pautas irán variando de acuerdo a lo que están aprendiendo en evaluación.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>Se tendrá siempre en cuenta aspectos teóricos como prácticos haciendo énfasis en el lenguaje técnico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 xml:space="preserve">Como una forma de potenciar competencias sello de la Universidad de Chile, se evaluará en forma permanente y en forma especial en cada trabajo 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Style w:val="Textoennegrita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AF042A">
              <w:rPr>
                <w:rFonts w:ascii="Arial" w:hAnsi="Arial" w:cs="Arial"/>
              </w:rPr>
              <w:t xml:space="preserve">- </w:t>
            </w:r>
            <w:r w:rsidRPr="00AF042A">
              <w:rPr>
                <w:rStyle w:val="Textoennegrita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Responsabilidad social y compromiso ciudadano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Style w:val="Textoennegrita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AF042A">
              <w:rPr>
                <w:rStyle w:val="Textoennegrita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- Capacidad crítica y autocrítica.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Style w:val="Textoennegrita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AF042A">
              <w:rPr>
                <w:rFonts w:ascii="Arial" w:hAnsi="Arial" w:cs="Arial"/>
              </w:rPr>
              <w:t>La  redacción y lectura comprensiva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>- Pensamiento crítico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>- Uso de Tic.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>- Trabajo en equipo</w:t>
            </w:r>
          </w:p>
          <w:p w:rsidR="00AF042A" w:rsidRPr="00AF042A" w:rsidRDefault="00AF042A" w:rsidP="00AF0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F042A">
              <w:rPr>
                <w:rFonts w:ascii="Arial" w:hAnsi="Arial" w:cs="Arial"/>
              </w:rPr>
              <w:t>-  Compromiso ético</w:t>
            </w:r>
          </w:p>
          <w:p w:rsidR="00AF042A" w:rsidRPr="004C7E5B" w:rsidRDefault="00AF042A" w:rsidP="004B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Pr="004C7E5B" w:rsidRDefault="002971E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lastRenderedPageBreak/>
              <w:t>14. Requisitos de aprobación</w:t>
            </w:r>
          </w:p>
          <w:p w:rsidR="00F376A6" w:rsidRPr="004C7E5B" w:rsidRDefault="00F376A6" w:rsidP="00F376A6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- Nota de aprobación mínima (escala de 1.0 a 7.0): 4.0 (cuatro coma cero).</w:t>
            </w:r>
          </w:p>
          <w:p w:rsidR="00F376A6" w:rsidRPr="004C7E5B" w:rsidRDefault="00F376A6" w:rsidP="00F376A6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- Requisitos para presentación a examen: nota 3.5 y todas las evaluaciones rendidas. </w:t>
            </w:r>
          </w:p>
          <w:p w:rsidR="00F376A6" w:rsidRPr="004C7E5B" w:rsidRDefault="00F376A6" w:rsidP="00F376A6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- Asistencia mínima 75%</w:t>
            </w:r>
          </w:p>
          <w:p w:rsidR="00F376A6" w:rsidRPr="004C7E5B" w:rsidRDefault="00F376A6" w:rsidP="00F376A6">
            <w:pPr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- Otros requisitos: participación, actitud respetuosa y compromiso con las actividades del curso.</w:t>
            </w:r>
          </w:p>
          <w:p w:rsidR="002971E9" w:rsidRPr="004C7E5B" w:rsidRDefault="002971E9" w:rsidP="00F376A6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Pr="004C7E5B" w:rsidRDefault="002971E9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15. Palabras Clave</w:t>
            </w:r>
          </w:p>
          <w:p w:rsidR="002971E9" w:rsidRPr="004C7E5B" w:rsidRDefault="00F376A6" w:rsidP="0083379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7E5B">
              <w:rPr>
                <w:rFonts w:ascii="Arial" w:hAnsi="Arial" w:cs="Arial"/>
                <w:sz w:val="24"/>
                <w:szCs w:val="24"/>
                <w:lang w:val="es-ES"/>
              </w:rPr>
              <w:t xml:space="preserve">Articulación -  Transiciones -  prácticas pedagógicas. </w:t>
            </w:r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Pr="004C7E5B" w:rsidRDefault="002971E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 xml:space="preserve">16. Bibliografía Obligatoria (no más de 5 textos) </w:t>
            </w:r>
          </w:p>
          <w:p w:rsidR="00844DF8" w:rsidRDefault="00F376A6" w:rsidP="00F37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Pitluk, L. (2016)  Articulación entre la Educación Inicial y la Educación Primaria.  Continuidades y encuentros.  Argentina</w:t>
            </w:r>
            <w:proofErr w:type="gramStart"/>
            <w:r w:rsidRPr="004C7E5B">
              <w:rPr>
                <w:rFonts w:ascii="Arial" w:hAnsi="Arial" w:cs="Arial"/>
                <w:sz w:val="24"/>
                <w:szCs w:val="24"/>
              </w:rPr>
              <w:t>:  Homo</w:t>
            </w:r>
            <w:proofErr w:type="gramEnd"/>
            <w:r w:rsidRPr="004C7E5B">
              <w:rPr>
                <w:rFonts w:ascii="Arial" w:hAnsi="Arial" w:cs="Arial"/>
                <w:sz w:val="24"/>
                <w:szCs w:val="24"/>
              </w:rPr>
              <w:t xml:space="preserve"> Sapiens.</w:t>
            </w:r>
          </w:p>
          <w:p w:rsidR="00844DF8" w:rsidRPr="006C0153" w:rsidRDefault="00844DF8" w:rsidP="00844D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53">
              <w:rPr>
                <w:rFonts w:ascii="Times New Roman" w:hAnsi="Times New Roman"/>
                <w:sz w:val="24"/>
                <w:szCs w:val="24"/>
              </w:rPr>
              <w:t>MINEDUC. Centro de Perfeccionamiento, Experimentación e Investigaciones Pedagógicas. (2012)  Estándares orientadores para carreras de Educación Parvularia. Santiago, Chile: LOM Ediciones.</w:t>
            </w:r>
          </w:p>
          <w:p w:rsidR="002971E9" w:rsidRPr="005F7074" w:rsidRDefault="00844DF8" w:rsidP="005F7074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53">
              <w:rPr>
                <w:rFonts w:ascii="Times New Roman" w:hAnsi="Times New Roman"/>
                <w:sz w:val="24"/>
                <w:szCs w:val="24"/>
              </w:rPr>
              <w:t xml:space="preserve">MINEDUC. Centro de perfeccionamiento, Experimentación e Investigaciones Pedagógicas. (2011) Estándares orientadores para egresados de carreras de pedagogía en educación básica. </w:t>
            </w:r>
            <w:r w:rsidR="005F7074">
              <w:rPr>
                <w:rFonts w:ascii="Times New Roman" w:hAnsi="Times New Roman"/>
                <w:sz w:val="24"/>
                <w:szCs w:val="24"/>
              </w:rPr>
              <w:t>Santiago, Chile: LOM Ediciones.</w:t>
            </w:r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Pr="004C7E5B" w:rsidRDefault="002971E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E5B">
              <w:rPr>
                <w:rFonts w:ascii="Arial" w:hAnsi="Arial" w:cs="Arial"/>
                <w:b/>
                <w:sz w:val="24"/>
                <w:szCs w:val="24"/>
              </w:rPr>
              <w:t>15. Bibliografía Complementaria</w:t>
            </w:r>
          </w:p>
          <w:p w:rsidR="00B55355" w:rsidRPr="004C7E5B" w:rsidRDefault="00B55355" w:rsidP="00B55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>Bennet, J. (2006) “Debemos aprender a ver las transiciones en las vidas de los niños de una forma mucho más positiva”, en Van Leer, Foundation. “El continuum desde el hogar a la escuela”, en: “Las transiciones en los primeros años: una oportunidad para el aprendizaje”. Espacios para la Infancia, (26).</w:t>
            </w:r>
          </w:p>
          <w:p w:rsidR="00B55355" w:rsidRPr="00AE22F7" w:rsidRDefault="00B55355" w:rsidP="00B55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Kaga, Y. (2008). ¿Cómo vincular la atención y educación de la primera infancia y la enseñanza primaria?, en Nota de la UNESCO sobre las políticas de la Primera Infancia, (44). UNESCO. </w:t>
            </w:r>
          </w:p>
          <w:p w:rsidR="00AE22F7" w:rsidRPr="00AE22F7" w:rsidRDefault="00AE22F7" w:rsidP="00AE22F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2F7">
              <w:rPr>
                <w:rFonts w:ascii="Arial" w:hAnsi="Arial" w:cs="Arial"/>
                <w:sz w:val="24"/>
                <w:szCs w:val="24"/>
              </w:rPr>
              <w:lastRenderedPageBreak/>
              <w:t>Peralta, M. V, (2007). Transiciones en educación infantil: un marco para abordar el tema de la calidad. Ponencia presentada en simposio de la OEA, Caracas, Venezuela.</w:t>
            </w:r>
          </w:p>
          <w:p w:rsidR="00B55355" w:rsidRPr="005F7074" w:rsidRDefault="00844DF8" w:rsidP="005F707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44DF8">
              <w:rPr>
                <w:rFonts w:ascii="Arial" w:eastAsia="Calibri" w:hAnsi="Arial" w:cs="Arial"/>
                <w:sz w:val="24"/>
                <w:szCs w:val="24"/>
                <w:lang w:val="es-MX"/>
              </w:rPr>
              <w:t>Van Leer, Foundation. (2006) “El continuum desde el hogar a la escuela”, en: “Las transiciones en los primeros años: una oportunidad para el aprendizaje”. Espacios para la Infa</w:t>
            </w:r>
            <w:r w:rsidRPr="00844DF8">
              <w:rPr>
                <w:rFonts w:ascii="Arial" w:hAnsi="Arial" w:cs="Arial"/>
                <w:sz w:val="24"/>
                <w:szCs w:val="24"/>
                <w:lang w:val="es-MX"/>
              </w:rPr>
              <w:t>ncia, Noviembre 2006, número 26.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hyperlink r:id="rId7" w:history="1">
              <w:r w:rsidRPr="002F4399">
                <w:rPr>
                  <w:rStyle w:val="Hipervnculo"/>
                  <w:rFonts w:ascii="Arial" w:hAnsi="Arial" w:cs="Arial"/>
                  <w:sz w:val="24"/>
                  <w:szCs w:val="24"/>
                  <w:lang w:val="es-MX"/>
                </w:rPr>
                <w:t>https://issuu.com/bernardvanleerfoundation/docs/las_transiciones_en_los_primeros_anos_una_oportuni</w:t>
              </w:r>
            </w:hyperlink>
          </w:p>
        </w:tc>
      </w:tr>
      <w:tr w:rsidR="002971E9" w:rsidRPr="004C7E5B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971E9" w:rsidRPr="004C7E5B" w:rsidRDefault="002971E9" w:rsidP="008337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C7E5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 xml:space="preserve">16. Recursos web </w:t>
            </w:r>
          </w:p>
          <w:p w:rsidR="00B55355" w:rsidRPr="004C7E5B" w:rsidRDefault="00B55355" w:rsidP="00B5535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E5B">
              <w:rPr>
                <w:rFonts w:ascii="Arial" w:hAnsi="Arial" w:cs="Arial"/>
                <w:sz w:val="24"/>
                <w:szCs w:val="24"/>
              </w:rPr>
              <w:t xml:space="preserve">Organización de los Estados Americanos (OEA) (2009) Las transiciones en la primera infancia. Una mirada internacional. Washington D.C: (s.n) en </w:t>
            </w:r>
            <w:hyperlink r:id="rId8" w:history="1">
              <w:r w:rsidRPr="002F4399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http://www.iin.oea.org/pdf-iin/RH/Las-transiciones-en-la-primera-infancia-Una-mirada-Internacional-Libro.pdf</w:t>
              </w:r>
            </w:hyperlink>
          </w:p>
          <w:p w:rsidR="00844DF8" w:rsidRDefault="00AE22F7" w:rsidP="00B5535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2F7">
              <w:rPr>
                <w:rFonts w:ascii="Arial" w:hAnsi="Arial" w:cs="Arial"/>
                <w:sz w:val="24"/>
                <w:szCs w:val="24"/>
              </w:rPr>
              <w:t xml:space="preserve">Rodríguez y Turón (2007) Articulación preescolar – primaria: recomendaciones al maestro. Revista Iberoamericana de Educación.   44 (4) recuperado desde </w:t>
            </w:r>
            <w:hyperlink r:id="rId9" w:history="1">
              <w:r w:rsidR="00844DF8" w:rsidRPr="002F4399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https://dialnet.unirioja.es/servlet/articulo?codigo=2444419</w:t>
              </w:r>
            </w:hyperlink>
          </w:p>
          <w:p w:rsidR="00844DF8" w:rsidRPr="006C0153" w:rsidRDefault="00844DF8" w:rsidP="00844D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53">
              <w:rPr>
                <w:rFonts w:ascii="Times New Roman" w:hAnsi="Times New Roman"/>
                <w:sz w:val="24"/>
                <w:szCs w:val="24"/>
              </w:rPr>
              <w:t xml:space="preserve">Ley 20370 – Establece la Ley General de Educación. Obtenida el 16 de octubre de 2015 desde </w:t>
            </w:r>
            <w:hyperlink r:id="rId10" w:history="1">
              <w:r w:rsidRPr="002F4399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http://www.leychile.cl/N?i=1006043&amp;f=2009-09-12&amp;p</w:t>
              </w:r>
            </w:hyperlink>
            <w:r w:rsidRPr="006C0153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2971E9" w:rsidRPr="005F7074" w:rsidRDefault="00844DF8" w:rsidP="005F7074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53">
              <w:rPr>
                <w:rFonts w:ascii="Times New Roman" w:hAnsi="Times New Roman"/>
                <w:sz w:val="24"/>
                <w:szCs w:val="24"/>
              </w:rPr>
              <w:t xml:space="preserve">Resolución 11636 Exenta – Imparte criterios técnicos sobre articulación curricular entre los niveles de Educación Parvularia y Enseñanza Básica. obtenido el 7 de septiembre de 2015 desde </w:t>
            </w:r>
            <w:hyperlink r:id="rId11" w:history="1">
              <w:r w:rsidRPr="002F4399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http://www.leychile.cl/N?i=231212&amp;f=2004-10-12&amp;p</w:t>
              </w:r>
            </w:hyperlink>
            <w:r w:rsidR="005F707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</w:tbl>
    <w:p w:rsidR="007F173C" w:rsidRPr="004C7E5B" w:rsidRDefault="007F173C">
      <w:pPr>
        <w:rPr>
          <w:rFonts w:ascii="Arial" w:hAnsi="Arial" w:cs="Arial"/>
          <w:sz w:val="24"/>
          <w:szCs w:val="24"/>
        </w:rPr>
      </w:pPr>
    </w:p>
    <w:sectPr w:rsidR="007F173C" w:rsidRPr="004C7E5B" w:rsidSect="007F173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9A" w:rsidRDefault="009E309A" w:rsidP="005F7074">
      <w:pPr>
        <w:spacing w:after="0" w:line="240" w:lineRule="auto"/>
      </w:pPr>
      <w:r>
        <w:separator/>
      </w:r>
    </w:p>
  </w:endnote>
  <w:endnote w:type="continuationSeparator" w:id="0">
    <w:p w:rsidR="009E309A" w:rsidRDefault="009E309A" w:rsidP="005F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9A" w:rsidRDefault="009E309A" w:rsidP="005F7074">
      <w:pPr>
        <w:spacing w:after="0" w:line="240" w:lineRule="auto"/>
      </w:pPr>
      <w:r>
        <w:separator/>
      </w:r>
    </w:p>
  </w:footnote>
  <w:footnote w:type="continuationSeparator" w:id="0">
    <w:p w:rsidR="009E309A" w:rsidRDefault="009E309A" w:rsidP="005F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4" w:rsidRDefault="005F7074" w:rsidP="005F7074">
    <w:pPr>
      <w:pStyle w:val="Encabezado"/>
    </w:pPr>
    <w:r w:rsidRPr="007B043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Usuario\AppData\Local\Microsoft\Windows\Temporary Internet Files\Content.Outlook\Z1RUSQ0A\logo_CS_educacion.jpg" style="width:244.2pt;height:73.2pt;visibility:visible">
          <v:imagedata r:id="rId1" o:title="logo_CS_educac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97D41"/>
    <w:multiLevelType w:val="hybridMultilevel"/>
    <w:tmpl w:val="11A0989E"/>
    <w:lvl w:ilvl="0" w:tplc="8EE46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DB4"/>
    <w:multiLevelType w:val="hybridMultilevel"/>
    <w:tmpl w:val="556C712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89"/>
    <w:rsid w:val="00045325"/>
    <w:rsid w:val="00237050"/>
    <w:rsid w:val="00272174"/>
    <w:rsid w:val="002971E9"/>
    <w:rsid w:val="002A48E8"/>
    <w:rsid w:val="002F4399"/>
    <w:rsid w:val="003414D4"/>
    <w:rsid w:val="00345C66"/>
    <w:rsid w:val="003A5F85"/>
    <w:rsid w:val="00411861"/>
    <w:rsid w:val="004276EC"/>
    <w:rsid w:val="0044373D"/>
    <w:rsid w:val="004B79C8"/>
    <w:rsid w:val="004C7415"/>
    <w:rsid w:val="004C7E5B"/>
    <w:rsid w:val="004D7083"/>
    <w:rsid w:val="00515FED"/>
    <w:rsid w:val="00544684"/>
    <w:rsid w:val="005F4F4D"/>
    <w:rsid w:val="005F7074"/>
    <w:rsid w:val="00673962"/>
    <w:rsid w:val="007071A2"/>
    <w:rsid w:val="007212A4"/>
    <w:rsid w:val="00736466"/>
    <w:rsid w:val="00766F04"/>
    <w:rsid w:val="00782BAD"/>
    <w:rsid w:val="007F173C"/>
    <w:rsid w:val="007F2F3E"/>
    <w:rsid w:val="00825B62"/>
    <w:rsid w:val="0083379E"/>
    <w:rsid w:val="00840137"/>
    <w:rsid w:val="00844DF8"/>
    <w:rsid w:val="0085397E"/>
    <w:rsid w:val="00862542"/>
    <w:rsid w:val="008D7289"/>
    <w:rsid w:val="0090064F"/>
    <w:rsid w:val="00981ED8"/>
    <w:rsid w:val="00991886"/>
    <w:rsid w:val="009E309A"/>
    <w:rsid w:val="009F4C6F"/>
    <w:rsid w:val="00A41979"/>
    <w:rsid w:val="00A70A49"/>
    <w:rsid w:val="00AE22F7"/>
    <w:rsid w:val="00AF042A"/>
    <w:rsid w:val="00B55355"/>
    <w:rsid w:val="00B62773"/>
    <w:rsid w:val="00C11CEE"/>
    <w:rsid w:val="00C52C74"/>
    <w:rsid w:val="00C92572"/>
    <w:rsid w:val="00C97671"/>
    <w:rsid w:val="00D35D28"/>
    <w:rsid w:val="00DA6A08"/>
    <w:rsid w:val="00E842F3"/>
    <w:rsid w:val="00EE316F"/>
    <w:rsid w:val="00F111B5"/>
    <w:rsid w:val="00F215DF"/>
    <w:rsid w:val="00F376A6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20BF-A381-4ECC-B360-B856978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55355"/>
    <w:pPr>
      <w:ind w:left="720"/>
      <w:contextualSpacing/>
    </w:pPr>
    <w:rPr>
      <w:rFonts w:eastAsia="Times New Roman"/>
      <w:lang w:eastAsia="es-CL"/>
    </w:rPr>
  </w:style>
  <w:style w:type="character" w:styleId="Hipervnculo">
    <w:name w:val="Hyperlink"/>
    <w:uiPriority w:val="99"/>
    <w:unhideWhenUsed/>
    <w:rsid w:val="00B55355"/>
    <w:rPr>
      <w:color w:val="0000FF"/>
      <w:u w:val="single"/>
    </w:rPr>
  </w:style>
  <w:style w:type="character" w:styleId="Textoennegrita">
    <w:name w:val="Strong"/>
    <w:uiPriority w:val="22"/>
    <w:qFormat/>
    <w:rsid w:val="00AF042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F7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F70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n.oea.org/pdf-iin/RH/Las-transiciones-en-la-primera-infancia-Una-mirada-Internacional-Libr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bernardvanleerfoundation/docs/las_transiciones_en_los_primeros_anos_una_oportun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ychile.cl/N?i=231212&amp;f=2004-10-12&amp;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ychile.cl/N?i=1006043&amp;f=2009-09-12&amp;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articulo?codigo=24444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8700</CharactersWithSpaces>
  <SharedDoc>false</SharedDoc>
  <HLinks>
    <vt:vector size="30" baseType="variant">
      <vt:variant>
        <vt:i4>786505</vt:i4>
      </vt:variant>
      <vt:variant>
        <vt:i4>12</vt:i4>
      </vt:variant>
      <vt:variant>
        <vt:i4>0</vt:i4>
      </vt:variant>
      <vt:variant>
        <vt:i4>5</vt:i4>
      </vt:variant>
      <vt:variant>
        <vt:lpwstr>http://www.leychile.cl/N?i=231212&amp;f=2004-10-12&amp;p</vt:lpwstr>
      </vt:variant>
      <vt:variant>
        <vt:lpwstr/>
      </vt:variant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http://www.leychile.cl/N?i=1006043&amp;f=2009-09-12&amp;p</vt:lpwstr>
      </vt:variant>
      <vt:variant>
        <vt:lpwstr/>
      </vt:variant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https://dialnet.unirioja.es/servlet/articulo?codigo=2444419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http://www.iin.oea.org/pdf-iin/RH/Las-transiciones-en-la-primera-infancia-Una-mirada-Internacional-Libro.pdf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https://issuu.com/bernardvanleerfoundation/docs/las_transiciones_en_los_primeros_anos_una_oportuni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</cp:lastModifiedBy>
  <cp:revision>2</cp:revision>
  <dcterms:created xsi:type="dcterms:W3CDTF">2019-01-24T15:51:00Z</dcterms:created>
  <dcterms:modified xsi:type="dcterms:W3CDTF">2019-01-24T15:51:00Z</dcterms:modified>
</cp:coreProperties>
</file>