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:rsidR="00EF79FB" w:rsidRDefault="00EF79FB">
      <w:pPr>
        <w:rPr>
          <w:rFonts w:ascii="Arial" w:hAnsi="Arial" w:cs="Arial"/>
        </w:rPr>
      </w:pPr>
    </w:p>
    <w:p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700AAF">
        <w:rPr>
          <w:rFonts w:ascii="Arial" w:hAnsi="Arial" w:cs="Arial"/>
        </w:rPr>
        <w:t>Patricio Rodríguez Valdes</w:t>
      </w:r>
    </w:p>
    <w:p w:rsidR="004D3DB6" w:rsidRDefault="004D3DB6">
      <w:pPr>
        <w:rPr>
          <w:rFonts w:ascii="Arial" w:hAnsi="Arial" w:cs="Arial"/>
        </w:rPr>
      </w:pPr>
    </w:p>
    <w:p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00AAF">
        <w:rPr>
          <w:rFonts w:ascii="Arial" w:hAnsi="Arial" w:cs="Arial"/>
        </w:rPr>
        <w:t>prodriguez@ciae.uchile.cl</w:t>
      </w:r>
    </w:p>
    <w:p w:rsidR="00FB588E" w:rsidRDefault="00FB588E">
      <w:pPr>
        <w:rPr>
          <w:rFonts w:ascii="Arial" w:hAnsi="Arial" w:cs="Arial"/>
        </w:rPr>
      </w:pPr>
    </w:p>
    <w:p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:rsidR="0011734E" w:rsidRDefault="00700AAF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:rsidTr="00544DFD">
        <w:tc>
          <w:tcPr>
            <w:tcW w:w="8978" w:type="dxa"/>
          </w:tcPr>
          <w:p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:rsidR="00544DFD" w:rsidRPr="00700AAF" w:rsidRDefault="00236089" w:rsidP="00236089">
            <w:pPr>
              <w:jc w:val="both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La Ciencia de Datos es una metodología usa un</w:t>
            </w:r>
            <w:r w:rsidRPr="00236089">
              <w:rPr>
                <w:rFonts w:asciiTheme="minorHAnsi" w:hAnsiTheme="minorHAnsi"/>
                <w:bCs/>
                <w:color w:val="000000" w:themeColor="text1"/>
              </w:rPr>
              <w:t xml:space="preserve"> amplio conjunto de técnicas provenientes de múltiples disciplinas como Ciencias de la Computación, Matemáticas, Estadísticas, Econometría e Investigación Operativa para extraer información útil del ‘Big Data’ y apoyar la toma de decisiones</w:t>
            </w:r>
            <w:r>
              <w:rPr>
                <w:rFonts w:asciiTheme="minorHAnsi" w:hAnsiTheme="minorHAnsi"/>
                <w:bCs/>
                <w:color w:val="000000" w:themeColor="text1"/>
              </w:rPr>
              <w:t>. Este curso es corresponde a una introducción a las técnicas que utiliza la ciencia de datos, además de cómo se puede seguir sistemáticamente sus pasos para transformar datos en evidencia que permita apoyar la toma de decisiones y la elaboración de políticas públicas.</w:t>
            </w:r>
          </w:p>
        </w:tc>
      </w:tr>
    </w:tbl>
    <w:p w:rsidR="00544DFD" w:rsidRPr="00B57B2E" w:rsidRDefault="00544DFD" w:rsidP="00B57B2E">
      <w:pPr>
        <w:rPr>
          <w:rFonts w:ascii="Arial" w:hAnsi="Arial" w:cs="Arial"/>
        </w:rPr>
      </w:pPr>
    </w:p>
    <w:p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278"/>
        <w:gridCol w:w="2275"/>
      </w:tblGrid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:rsidR="005D1D4F" w:rsidRPr="00236089" w:rsidRDefault="00700AAF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236089">
              <w:rPr>
                <w:rFonts w:asciiTheme="minorHAnsi" w:eastAsia="Calibri" w:hAnsiTheme="minorHAnsi" w:cstheme="minorHAnsi"/>
                <w:color w:val="535353"/>
                <w:sz w:val="22"/>
                <w:szCs w:val="20"/>
                <w:lang w:val="es-ES" w:eastAsia="en-US"/>
              </w:rPr>
              <w:t>Introducción a la Ciencia de Datos.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:rsidR="005D1D4F" w:rsidRPr="00236089" w:rsidRDefault="00700AAF" w:rsidP="00236089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535353"/>
                <w:sz w:val="20"/>
                <w:szCs w:val="20"/>
                <w:lang w:val="en-US" w:eastAsia="en-US"/>
              </w:rPr>
            </w:pPr>
            <w:r w:rsidRPr="00236089">
              <w:rPr>
                <w:rFonts w:asciiTheme="minorHAnsi" w:eastAsia="Calibri" w:hAnsiTheme="minorHAnsi" w:cstheme="minorHAnsi"/>
                <w:color w:val="535353"/>
                <w:sz w:val="22"/>
                <w:szCs w:val="20"/>
                <w:lang w:val="en-US" w:eastAsia="en-US"/>
              </w:rPr>
              <w:t>Introduction to Data Science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700AA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</w:t>
            </w:r>
            <w:r w:rsidR="00236089" w:rsidRPr="00A9797C">
              <w:rPr>
                <w:rFonts w:ascii="Arial" w:eastAsia="Calibri" w:hAnsi="Arial" w:cs="Arial"/>
                <w:b/>
                <w:lang w:val="es-CL" w:eastAsia="en-US"/>
              </w:rPr>
              <w:t>Ámbito:</w:t>
            </w:r>
            <w:r w:rsidR="00700A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Investigación, intervención social y política.</w:t>
            </w:r>
          </w:p>
        </w:tc>
      </w:tr>
      <w:tr w:rsidR="005D1D4F" w:rsidRPr="00A9797C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  <w:r w:rsidR="00236089">
              <w:rPr>
                <w:rFonts w:ascii="Arial" w:eastAsia="Calibri" w:hAnsi="Arial" w:cs="Arial"/>
                <w:lang w:val="es-CL" w:eastAsia="en-US"/>
              </w:rPr>
              <w:t xml:space="preserve"> 1.5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  <w:r w:rsidR="00236089">
              <w:rPr>
                <w:rFonts w:ascii="Arial" w:eastAsia="Calibri" w:hAnsi="Arial" w:cs="Arial"/>
                <w:lang w:val="es-CL" w:eastAsia="en-US"/>
              </w:rPr>
              <w:t xml:space="preserve"> 3</w:t>
            </w:r>
          </w:p>
        </w:tc>
      </w:tr>
      <w:tr w:rsidR="005D1D4F" w:rsidRPr="00A9797C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  <w:p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  <w:t xml:space="preserve">(Corresponde al </w:t>
            </w: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Sistema de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Creditaje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de diseño de la asignatura, </w:t>
            </w:r>
            <w:proofErr w:type="gram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de acuerdo a</w:t>
            </w:r>
            <w:proofErr w:type="gram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lo expuesto en la normativa de los planes de estudio en que esta se desarrolla.)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:rsidR="005D1D4F" w:rsidRPr="00A9797C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  <w:r w:rsidR="00236089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="00236089">
              <w:t xml:space="preserve">Viernes 10:15 - 11:45 </w:t>
            </w:r>
            <w:proofErr w:type="spellStart"/>
            <w:r w:rsidR="00236089">
              <w:t>hrs</w:t>
            </w:r>
            <w:proofErr w:type="spellEnd"/>
            <w:r w:rsidR="00236089">
              <w:t>.</w:t>
            </w:r>
          </w:p>
        </w:tc>
      </w:tr>
      <w:tr w:rsidR="00D14DAC" w:rsidRPr="00A9797C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</w:tc>
      </w:tr>
      <w:tr w:rsidR="005D1D4F" w:rsidRPr="00A9797C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2B" w:rsidRPr="000E0D2B" w:rsidRDefault="00236089" w:rsidP="0023608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36089">
              <w:rPr>
                <w:rFonts w:ascii="Arial" w:eastAsia="Calibri" w:hAnsi="Arial" w:cs="Arial"/>
                <w:lang w:val="es-CL" w:eastAsia="en-US"/>
              </w:rPr>
              <w:t xml:space="preserve">Conocer, comprender y aplicar los conceptos y nociones necesarias para diseñar y llevar a cabo un proceso de Ciencia de Datos, evaluando críticamente los procesos y necesidades comprehendidas en cada etapa 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236089" w:rsidRDefault="00236089" w:rsidP="0023608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Comprender y aplicar nociones de matemática, estadística y programación, al servicio de la Ciencia de Datos.</w:t>
            </w:r>
          </w:p>
          <w:p w:rsidR="00236089" w:rsidRDefault="00236089" w:rsidP="0023608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Comprender y aplicar buenas prácticas en el diseño de modelos según los objetivos y preguntas planteadas.</w:t>
            </w:r>
          </w:p>
          <w:p w:rsidR="00236089" w:rsidRDefault="00236089" w:rsidP="0023608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Comprender y aplicar críticamente diversas técnicas de análisis de datos, reconociendo su pertinencia en función de los objetivos de análisis y datos utilizados.</w:t>
            </w:r>
          </w:p>
          <w:p w:rsidR="005D1D4F" w:rsidRPr="00493884" w:rsidRDefault="00236089" w:rsidP="0023608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Comprender y aplicar análisis geoespaciales básicos, al servicio de la construcción de mejores modelos.</w:t>
            </w:r>
          </w:p>
          <w:p w:rsidR="00236089" w:rsidRPr="00493884" w:rsidRDefault="00236089" w:rsidP="00493884">
            <w:pPr>
              <w:ind w:left="360"/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shd w:val="clear" w:color="auto" w:fill="FFFFFF"/>
                <w:lang w:val="es-CL" w:eastAsia="en-US"/>
              </w:rPr>
            </w:pP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:rsidR="00BE265A" w:rsidRPr="00A9797C" w:rsidRDefault="00BE265A" w:rsidP="00BE265A">
            <w:pPr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Se espera que, al terminar el curso de Introducción a la Ciencia de Datos, los estudiantes dominen los contenidos necesarios para realizar el proceso completo del ciclo de análisis de datos. Específicamente, se espera que los participantes puedan explorar, preparar </w:t>
            </w:r>
            <w:r>
              <w:rPr>
                <w:rFonts w:asciiTheme="minorHAnsi" w:hAnsiTheme="minorHAnsi"/>
                <w:bCs/>
                <w:color w:val="000000" w:themeColor="text1"/>
              </w:rPr>
              <w:lastRenderedPageBreak/>
              <w:t>datos, planificar modelos, elaborar modelos, comunicar resultados, y tomar decisiones en función de dichos resultados. Lo anterior, con un énfasis en las habilidades de programación necesarias para llevar a cabo el proceso.</w:t>
            </w:r>
          </w:p>
          <w:p w:rsidR="005D1D4F" w:rsidRPr="00A9797C" w:rsidRDefault="00493884" w:rsidP="00C5262B">
            <w:pPr>
              <w:ind w:left="708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:rsidR="00347364" w:rsidRPr="00347364" w:rsidRDefault="00BE265A" w:rsidP="00347364">
            <w:pPr>
              <w:jc w:val="both"/>
              <w:rPr>
                <w:rFonts w:ascii="Arial" w:eastAsia="Calibri" w:hAnsi="Arial" w:cs="Arial"/>
                <w:i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Trabajo individual y proyecto de curso grupal.</w:t>
            </w:r>
            <w:bookmarkStart w:id="0" w:name="_GoBack"/>
            <w:bookmarkEnd w:id="0"/>
          </w:p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:rsidR="006F557D" w:rsidRPr="006F557D" w:rsidRDefault="006F557D" w:rsidP="006F557D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  <w:r w:rsidRPr="006F557D">
              <w:rPr>
                <w:rFonts w:ascii="Arial" w:eastAsia="Calibri" w:hAnsi="Arial" w:cs="Arial"/>
                <w:sz w:val="20"/>
                <w:lang w:val="es-ES" w:eastAsia="en-US"/>
              </w:rPr>
              <w:t>Entregable semanal (ES): Corresponden a trabajos acotados y autocontenidos, basados en los contenidos de la clase en la que fueron asignados.</w:t>
            </w:r>
          </w:p>
          <w:p w:rsidR="006F557D" w:rsidRPr="006F557D" w:rsidRDefault="006F557D" w:rsidP="006F557D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  <w:r w:rsidRPr="006F557D">
              <w:rPr>
                <w:rFonts w:ascii="Arial" w:eastAsia="Calibri" w:hAnsi="Arial" w:cs="Arial"/>
                <w:sz w:val="20"/>
                <w:lang w:val="es-ES" w:eastAsia="en-US"/>
              </w:rPr>
              <w:t>Lectura (L): Consisten en textos que serán evaluados al comienzo de la clase siguiente, con un breve control de lectura.</w:t>
            </w:r>
          </w:p>
          <w:p w:rsidR="006F557D" w:rsidRPr="006F557D" w:rsidRDefault="006F557D" w:rsidP="006F557D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  <w:r w:rsidRPr="006F557D">
              <w:rPr>
                <w:rFonts w:ascii="Arial" w:eastAsia="Calibri" w:hAnsi="Arial" w:cs="Arial"/>
                <w:sz w:val="20"/>
                <w:lang w:val="es-ES" w:eastAsia="en-US"/>
              </w:rPr>
              <w:t>Entregable de proyecto (EP): Similares a los entregables semanales, pero son parte de un proyecto de trabajo más amplio, en que se pretende desarrollar un modelo.</w:t>
            </w:r>
          </w:p>
          <w:p w:rsidR="005D1D4F" w:rsidRPr="006F557D" w:rsidRDefault="006F557D" w:rsidP="006F557D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6F557D">
              <w:rPr>
                <w:rFonts w:ascii="Arial" w:eastAsia="Calibri" w:hAnsi="Arial" w:cs="Arial"/>
                <w:sz w:val="20"/>
                <w:lang w:val="es-ES" w:eastAsia="en-US"/>
              </w:rPr>
              <w:t>Entregable final (EF): Consiste en una presentación final frente al curso, del modelo desarrollado en los EP.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680"/>
            </w:tblGrid>
            <w:tr w:rsidR="006F557D" w:rsidTr="006F557D">
              <w:trPr>
                <w:trHeight w:val="250"/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center"/>
                    <w:rPr>
                      <w:rFonts w:asciiTheme="minorHAnsi" w:eastAsia="Cambria" w:hAnsiTheme="minorHAnsi"/>
                      <w:b/>
                      <w:sz w:val="16"/>
                      <w:lang w:eastAsia="en-US"/>
                    </w:rPr>
                  </w:pPr>
                  <w:r>
                    <w:rPr>
                      <w:rFonts w:asciiTheme="minorHAnsi" w:eastAsia="Cambria" w:hAnsiTheme="minorHAnsi"/>
                      <w:b/>
                      <w:sz w:val="16"/>
                    </w:rPr>
                    <w:t>Evaluación (media)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center"/>
                    <w:rPr>
                      <w:rFonts w:asciiTheme="minorHAnsi" w:eastAsia="Cambria" w:hAnsiTheme="minorHAnsi"/>
                      <w:b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b/>
                      <w:sz w:val="16"/>
                    </w:rPr>
                    <w:t>Ponderación</w:t>
                  </w:r>
                </w:p>
              </w:tc>
            </w:tr>
            <w:tr w:rsidR="006F557D" w:rsidTr="006F557D">
              <w:trPr>
                <w:trHeight w:val="250"/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L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10%</w:t>
                  </w:r>
                </w:p>
              </w:tc>
            </w:tr>
            <w:tr w:rsidR="006F557D" w:rsidTr="006F557D">
              <w:trPr>
                <w:trHeight w:val="250"/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ES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20%</w:t>
                  </w:r>
                </w:p>
              </w:tc>
            </w:tr>
            <w:tr w:rsidR="006F557D" w:rsidTr="006F557D">
              <w:trPr>
                <w:trHeight w:val="250"/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EP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30%</w:t>
                  </w:r>
                </w:p>
              </w:tc>
            </w:tr>
            <w:tr w:rsidR="006F557D" w:rsidTr="006F557D">
              <w:trPr>
                <w:trHeight w:val="250"/>
                <w:jc w:val="center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EF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57D" w:rsidRDefault="006F557D" w:rsidP="006F557D">
                  <w:pPr>
                    <w:jc w:val="both"/>
                    <w:rPr>
                      <w:rFonts w:asciiTheme="minorHAnsi" w:eastAsia="Cambria" w:hAnsiTheme="minorHAnsi"/>
                      <w:sz w:val="16"/>
                    </w:rPr>
                  </w:pPr>
                  <w:r>
                    <w:rPr>
                      <w:rFonts w:asciiTheme="minorHAnsi" w:eastAsia="Cambria" w:hAnsiTheme="minorHAnsi"/>
                      <w:sz w:val="16"/>
                    </w:rPr>
                    <w:t>40%</w:t>
                  </w:r>
                </w:p>
              </w:tc>
            </w:tr>
          </w:tbl>
          <w:p w:rsidR="006F557D" w:rsidRDefault="006F557D"/>
          <w:p w:rsidR="005D1D4F" w:rsidRPr="00A9797C" w:rsidRDefault="006F557D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La nota final ponderada según lo indicado en la tabla anterior tiene que ser superior a 4.0</w:t>
            </w:r>
            <w:r w:rsidR="00BE265A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y el entregable final (EF) también tiene que tener nota superior a 4.0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:rsidR="005D1D4F" w:rsidRPr="00A9797C" w:rsidRDefault="0012479B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Big Data, Ciencia de Datos, aprendizaje automático (machine Learning), lenguajes de programación, toma de decisiones, visualización.</w:t>
            </w: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Boyd, D., &amp; Crawford, K. (2012).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Critical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questions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for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big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data: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Provocations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for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a cultural,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technological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scholarly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phenomenon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Information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communication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society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15(5), 662–679. </w:t>
            </w:r>
            <w:hyperlink r:id="rId8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https://doi.org/10.1080/1369118X.2012.678878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Edelman, B. G., &amp; Luca, M. (2014). Digital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Discrimination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: The Case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of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Airbnb.com (SSRN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Scholarly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Paper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No. ID 2377353). Rochester, NY: Social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Science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Research Network. Disponible en </w:t>
            </w:r>
            <w:hyperlink r:id="rId9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https://papers.ssrn.com/abstract=2377353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Goldsmith, S., Crawford, S.,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Weinryb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Grohsgal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B. (2016). Innovaciones en la prestación de servicios públicos: Número 4: El análisis predictivo: Impulsando la mejora a partir de los datos </w:t>
            </w:r>
            <w:r w:rsidRPr="00704551">
              <w:rPr>
                <w:rFonts w:ascii="Arial" w:hAnsi="Arial"/>
                <w:sz w:val="20"/>
                <w:szCs w:val="20"/>
                <w:lang w:val="es-ES"/>
              </w:rPr>
              <w:lastRenderedPageBreak/>
              <w:t>(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Discussion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Papers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Presentations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). Inter-American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Development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Bank. </w:t>
            </w:r>
            <w:hyperlink r:id="rId10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https://doi.org/10.18235/0000421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Kleinberg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J., Ludwig, J.,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Mullainathan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S.,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Obermeyer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Z. (2015).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Prediction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policy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problems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The American Economic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Review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105(5), 491–495. </w:t>
            </w:r>
            <w:hyperlink r:id="rId11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https://doi.org/10.1257/aer.p20151023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Manyika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J.,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Chui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M., Brown, B.,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Bughin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J.,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Dobbs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R.,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Roxburgh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C.,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Byers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A. H. (2011). Big Data: The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next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frontier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for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innovation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competition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productivity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McKinsey Global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Institute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Disponible en </w:t>
            </w:r>
            <w:hyperlink r:id="rId12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http://www.mckinsey.com/business-functions/digital-mckinsey/our-insights/big-data-the-next-frontier-for-innovation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>Rodríguez, P., Palomino, N., &amp; Mondaca, J. (2017). El uso de datos masivos y sus técnicas analíticas para el diseño e implementación de políticas públicas en Latinoamérica y el Caribe (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Discussion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Papers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Presentations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). Inter-American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Development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Bank. </w:t>
            </w:r>
            <w:hyperlink r:id="rId13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https://doi.org/10.18235/0000694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Tomar, L.,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Guicheney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W.,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Kyarisiima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H., &amp;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Zimani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T. (2016). Big Data in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the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public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sector: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Selected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applications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lessons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learned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Inter-American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Development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Bank. Disponible en </w:t>
            </w:r>
            <w:hyperlink r:id="rId14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https://publications.iadb.org/handle/11319/7884</w:t>
              </w:r>
            </w:hyperlink>
          </w:p>
          <w:p w:rsidR="005D1D4F" w:rsidRPr="00E54692" w:rsidRDefault="005D1D4F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Anderson, C. (2008, junio 23). The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End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of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Theory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: The Data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Deluge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Makes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the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Scientific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Method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Obsolete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Disponible en </w:t>
            </w: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https://www.wired.com/2008/06/pb-theory/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Bahamonde, J., Hevia, A., Font, G., Bustos-Jiménez, J., &amp; Montero, C. (2014).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Mining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Private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Information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from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Public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Data: The Transantiago Case. IEEE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Pervasive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Computing, 13(2), 37–43. </w:t>
            </w:r>
            <w:hyperlink r:id="rId16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https://doi.org/10.1109/MPRV.2014.30</w:t>
              </w:r>
            </w:hyperlink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Butler, D. (2013).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When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Google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got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flu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wrong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Nature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News, 494(7436), 155. </w:t>
            </w:r>
            <w:hyperlink r:id="rId17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https://doi.org/10.1038/494155a</w:t>
              </w:r>
            </w:hyperlink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Friedman, V. (2008, enero 14). Data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Visualization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Infographics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Smashing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Magazine. Disponible en </w:t>
            </w:r>
            <w:hyperlink r:id="rId18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https://www.smashingmagazine.com/2008/01/monday-inspiration-data-visualization-and-infographics/</w:t>
              </w:r>
            </w:hyperlink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Harford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T. (2014, marzo 28). Big data: are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making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big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mistake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>?.</w:t>
            </w:r>
            <w:proofErr w:type="gram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Disponible en </w:t>
            </w:r>
            <w:hyperlink r:id="rId19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https://www.ft.com/content/21a6e7d8-b479-11e3-a09a-00144feabdc0</w:t>
              </w:r>
            </w:hyperlink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Hilbert, M., &amp; López, P. (2011). The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world’s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technological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capacity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to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store,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communicate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and compute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information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Science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, 332(6025), 60–65. </w:t>
            </w:r>
            <w:hyperlink r:id="rId20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https://doi.org/10.1126/science.1200970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The Economist. (2010, febrero). Data, data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everywhere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| The Economist. Recuperado de </w:t>
            </w:r>
            <w:hyperlink r:id="rId21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http://www.economist.com/node/15557443</w:t>
              </w:r>
            </w:hyperlink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493884" w:rsidRPr="00704551" w:rsidRDefault="00493884" w:rsidP="00493884">
            <w:pPr>
              <w:ind w:left="284" w:hanging="284"/>
              <w:rPr>
                <w:rFonts w:ascii="Arial" w:hAnsi="Arial"/>
                <w:sz w:val="20"/>
                <w:szCs w:val="20"/>
                <w:lang w:val="es-ES"/>
              </w:rPr>
            </w:pPr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Miller, C. (2015, julio 9).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When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Algorithms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4551">
              <w:rPr>
                <w:rFonts w:ascii="Arial" w:hAnsi="Arial"/>
                <w:sz w:val="20"/>
                <w:szCs w:val="20"/>
                <w:lang w:val="es-ES"/>
              </w:rPr>
              <w:t>Discriminate</w:t>
            </w:r>
            <w:proofErr w:type="spellEnd"/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. The New York Times. Disponible en </w:t>
            </w:r>
            <w:hyperlink r:id="rId22" w:history="1">
              <w:r w:rsidRPr="00704551">
                <w:rPr>
                  <w:rStyle w:val="Hipervnculo"/>
                  <w:rFonts w:ascii="Arial" w:hAnsi="Arial"/>
                  <w:sz w:val="20"/>
                  <w:szCs w:val="20"/>
                  <w:lang w:val="es-ES"/>
                </w:rPr>
                <w:t>https://www.nytimes.com/2015/07/10/upshot/when-algorithms-discriminate.html</w:t>
              </w:r>
            </w:hyperlink>
            <w:r w:rsidRPr="00704551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5D1D4F" w:rsidRPr="00A9797C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:rsidR="00700AAF" w:rsidRPr="00BE265A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J.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Vanderplas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, The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Jupyter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Notebooks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behind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my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O’Reilly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report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, “A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Whirlwind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Tour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of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Python”: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jakevdp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/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WhirlwindTourOfPython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 2018.</w:t>
            </w:r>
          </w:p>
          <w:p w:rsidR="00700AAF" w:rsidRPr="00BE265A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lastRenderedPageBreak/>
              <w:t xml:space="preserve">R. Kumar,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IPython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Notebooks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to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learn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Python.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Contribute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to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rajathkmp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/Python-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Lectures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development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by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creating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an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account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on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GitHub. 2018.</w:t>
            </w:r>
          </w:p>
          <w:p w:rsidR="00700AAF" w:rsidRPr="00BE265A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“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Jupyter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Notebook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Viewer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”. [Online]. Disponible en: </w:t>
            </w:r>
            <w:hyperlink r:id="rId23" w:history="1">
              <w:r w:rsidR="00236089" w:rsidRPr="00BE265A">
                <w:rPr>
                  <w:rStyle w:val="Hipervnculo"/>
                  <w:rFonts w:ascii="Arial" w:eastAsia="Calibri" w:hAnsi="Arial" w:cs="Arial"/>
                  <w:color w:val="auto"/>
                  <w:sz w:val="20"/>
                  <w:szCs w:val="20"/>
                  <w:lang w:val="es-ES" w:eastAsia="en-US"/>
                </w:rPr>
                <w:t>https://bit.ly/2CqpH9h</w:t>
              </w:r>
            </w:hyperlink>
            <w:r w:rsidR="00236089"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  <w:p w:rsidR="00700AAF" w:rsidRPr="00BE265A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“Python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for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Developers</w:t>
            </w:r>
            <w:proofErr w:type="spellEnd"/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”. [Online]. Disponible en: </w:t>
            </w:r>
            <w:hyperlink r:id="rId24" w:history="1">
              <w:r w:rsidR="00236089" w:rsidRPr="00BE265A">
                <w:rPr>
                  <w:rStyle w:val="Hipervnculo"/>
                  <w:rFonts w:ascii="Arial" w:eastAsia="Calibri" w:hAnsi="Arial" w:cs="Arial"/>
                  <w:color w:val="auto"/>
                  <w:sz w:val="20"/>
                  <w:szCs w:val="20"/>
                  <w:lang w:val="es-ES" w:eastAsia="en-US"/>
                </w:rPr>
                <w:t>https://bit.ly/2oNFs0G</w:t>
              </w:r>
            </w:hyperlink>
            <w:r w:rsidR="00236089"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  <w:p w:rsidR="005D1D4F" w:rsidRPr="00BE265A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“Tutorial de Python 3.6.3”. [Online]. Disponible en: </w:t>
            </w:r>
            <w:hyperlink r:id="rId25" w:history="1">
              <w:r w:rsidRPr="00BE265A">
                <w:rPr>
                  <w:rStyle w:val="Hipervnculo"/>
                  <w:rFonts w:ascii="Arial" w:eastAsia="Calibri" w:hAnsi="Arial" w:cs="Arial"/>
                  <w:color w:val="auto"/>
                  <w:sz w:val="20"/>
                  <w:szCs w:val="20"/>
                  <w:lang w:val="es-ES" w:eastAsia="en-US"/>
                </w:rPr>
                <w:t>https://bit.ly/1IrfUbn</w:t>
              </w:r>
            </w:hyperlink>
            <w:r w:rsidRPr="00BE265A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  <w:p w:rsidR="00700AAF" w:rsidRPr="00700AAF" w:rsidRDefault="00700AAF" w:rsidP="00700AAF">
            <w:pPr>
              <w:spacing w:after="120"/>
              <w:ind w:left="590" w:hanging="567"/>
              <w:jc w:val="both"/>
              <w:rPr>
                <w:rFonts w:ascii="Arial" w:eastAsia="Calibri" w:hAnsi="Arial" w:cs="Arial"/>
                <w:color w:val="535353"/>
                <w:sz w:val="26"/>
                <w:szCs w:val="26"/>
                <w:lang w:val="es-ES" w:eastAsia="en-US"/>
              </w:rPr>
            </w:pPr>
            <w:r w:rsidRPr="00700AAF">
              <w:rPr>
                <w:rFonts w:ascii="Arial" w:eastAsia="Calibri" w:hAnsi="Arial" w:cs="Arial"/>
                <w:color w:val="535353"/>
                <w:sz w:val="22"/>
                <w:szCs w:val="22"/>
                <w:lang w:val="es-ES" w:eastAsia="en-US"/>
              </w:rPr>
              <w:t xml:space="preserve">Aprendizaje de lenguajes de programación gratuita: </w:t>
            </w:r>
            <w:hyperlink r:id="rId26" w:history="1">
              <w:r w:rsidRPr="00700AAF">
                <w:rPr>
                  <w:color w:val="535353"/>
                  <w:sz w:val="22"/>
                  <w:szCs w:val="22"/>
                  <w:lang w:val="es-ES" w:eastAsia="en-US"/>
                </w:rPr>
                <w:t>https://www.sololearn.com/</w:t>
              </w:r>
            </w:hyperlink>
            <w:r w:rsidRPr="00700AAF">
              <w:rPr>
                <w:rFonts w:ascii="Arial" w:eastAsia="Calibri" w:hAnsi="Arial" w:cs="Arial"/>
                <w:color w:val="535353"/>
                <w:sz w:val="22"/>
                <w:szCs w:val="22"/>
                <w:lang w:val="es-ES" w:eastAsia="en-US"/>
              </w:rPr>
              <w:t xml:space="preserve"> (también disponible como </w:t>
            </w:r>
            <w:proofErr w:type="gramStart"/>
            <w:r w:rsidRPr="00700AAF">
              <w:rPr>
                <w:rFonts w:ascii="Arial" w:eastAsia="Calibri" w:hAnsi="Arial" w:cs="Arial"/>
                <w:color w:val="535353"/>
                <w:sz w:val="22"/>
                <w:szCs w:val="22"/>
                <w:lang w:val="es-ES" w:eastAsia="en-US"/>
              </w:rPr>
              <w:t>app</w:t>
            </w:r>
            <w:proofErr w:type="gramEnd"/>
            <w:r w:rsidRPr="00700AAF">
              <w:rPr>
                <w:rFonts w:ascii="Arial" w:eastAsia="Calibri" w:hAnsi="Arial" w:cs="Arial"/>
                <w:color w:val="535353"/>
                <w:sz w:val="22"/>
                <w:szCs w:val="22"/>
                <w:lang w:val="es-ES" w:eastAsia="en-US"/>
              </w:rPr>
              <w:t xml:space="preserve"> de celular)</w:t>
            </w:r>
          </w:p>
        </w:tc>
      </w:tr>
      <w:tr w:rsidR="002E4954" w:rsidRPr="00A9797C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</w:rPr>
              <w:t xml:space="preserve">Sesión 1 - Introducción a Ciencia de Datos, </w:t>
            </w:r>
            <w:r>
              <w:rPr>
                <w:rFonts w:asciiTheme="minorHAnsi" w:hAnsiTheme="minorHAnsi"/>
                <w:b/>
                <w:i/>
              </w:rPr>
              <w:t>Métodos de definición de objetivos</w:t>
            </w:r>
            <w:r>
              <w:rPr>
                <w:rFonts w:asciiTheme="minorHAnsi" w:hAnsiTheme="minorHAnsi"/>
                <w:b/>
              </w:rPr>
              <w:t xml:space="preserve"> y Python. 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2 – Adquisición y exploración de datos con Python.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3 - Preparación de datos con Python: estructura y filtros.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6 - Minería de datos con Python.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7 - Planificación y diseño de modelos.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8 – Desarrollo de modelos.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9 – Desarrollo y validación de modelos.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10 – Evaluación y rediseño.</w:t>
            </w:r>
          </w:p>
          <w:p w:rsidR="00B324E7" w:rsidRDefault="00B324E7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Sesión 11 – Interpretación y comunicación de resultados a través de visualizaciones.</w:t>
            </w:r>
          </w:p>
          <w:p w:rsidR="006F557D" w:rsidRDefault="006F557D" w:rsidP="00B324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Sesión 12 </w:t>
            </w: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Presentación de proyectos de curso</w:t>
            </w:r>
          </w:p>
          <w:p w:rsidR="002E4954" w:rsidRPr="00114A8D" w:rsidRDefault="002E4954" w:rsidP="006F557D">
            <w:pPr>
              <w:ind w:left="708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</w:tbl>
    <w:p w:rsidR="003E4B4F" w:rsidRDefault="003E4B4F">
      <w:pPr>
        <w:rPr>
          <w:rFonts w:ascii="Arial" w:hAnsi="Arial" w:cs="Arial"/>
          <w:lang w:val="es-MX"/>
        </w:rPr>
      </w:pPr>
    </w:p>
    <w:p w:rsidR="002E4954" w:rsidRDefault="002E4954">
      <w:pPr>
        <w:rPr>
          <w:rFonts w:ascii="Arial" w:hAnsi="Arial" w:cs="Arial"/>
          <w:lang w:val="es-MX"/>
        </w:rPr>
      </w:pPr>
    </w:p>
    <w:p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27"/>
      <w:footerReference w:type="even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7A" w:rsidRDefault="0089447A" w:rsidP="00EF79FB">
      <w:r>
        <w:separator/>
      </w:r>
    </w:p>
  </w:endnote>
  <w:endnote w:type="continuationSeparator" w:id="0">
    <w:p w:rsidR="0089447A" w:rsidRDefault="0089447A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E50919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7A" w:rsidRDefault="0089447A" w:rsidP="00EF79FB">
      <w:r>
        <w:separator/>
      </w:r>
    </w:p>
  </w:footnote>
  <w:footnote w:type="continuationSeparator" w:id="0">
    <w:p w:rsidR="0089447A" w:rsidRDefault="0089447A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0D9863EF" wp14:editId="2A3E7D06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10612"/>
    <w:multiLevelType w:val="hybridMultilevel"/>
    <w:tmpl w:val="13680412"/>
    <w:lvl w:ilvl="0" w:tplc="FEA4942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24A"/>
    <w:multiLevelType w:val="hybridMultilevel"/>
    <w:tmpl w:val="05749A46"/>
    <w:lvl w:ilvl="0" w:tplc="FEA4942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42052E3"/>
    <w:multiLevelType w:val="hybridMultilevel"/>
    <w:tmpl w:val="425C35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6C6F"/>
    <w:multiLevelType w:val="hybridMultilevel"/>
    <w:tmpl w:val="94D2E0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6"/>
  </w:num>
  <w:num w:numId="7">
    <w:abstractNumId w:val="28"/>
  </w:num>
  <w:num w:numId="8">
    <w:abstractNumId w:val="23"/>
  </w:num>
  <w:num w:numId="9">
    <w:abstractNumId w:val="18"/>
  </w:num>
  <w:num w:numId="10">
    <w:abstractNumId w:val="13"/>
  </w:num>
  <w:num w:numId="11">
    <w:abstractNumId w:val="30"/>
  </w:num>
  <w:num w:numId="12">
    <w:abstractNumId w:val="11"/>
  </w:num>
  <w:num w:numId="13">
    <w:abstractNumId w:val="27"/>
  </w:num>
  <w:num w:numId="14">
    <w:abstractNumId w:val="22"/>
  </w:num>
  <w:num w:numId="15">
    <w:abstractNumId w:val="4"/>
  </w:num>
  <w:num w:numId="16">
    <w:abstractNumId w:val="26"/>
  </w:num>
  <w:num w:numId="17">
    <w:abstractNumId w:val="12"/>
  </w:num>
  <w:num w:numId="18">
    <w:abstractNumId w:val="0"/>
  </w:num>
  <w:num w:numId="19">
    <w:abstractNumId w:val="15"/>
  </w:num>
  <w:num w:numId="20">
    <w:abstractNumId w:val="21"/>
  </w:num>
  <w:num w:numId="21">
    <w:abstractNumId w:val="25"/>
  </w:num>
  <w:num w:numId="22">
    <w:abstractNumId w:val="10"/>
  </w:num>
  <w:num w:numId="23">
    <w:abstractNumId w:val="8"/>
  </w:num>
  <w:num w:numId="24">
    <w:abstractNumId w:val="32"/>
  </w:num>
  <w:num w:numId="25">
    <w:abstractNumId w:val="29"/>
  </w:num>
  <w:num w:numId="26">
    <w:abstractNumId w:val="1"/>
  </w:num>
  <w:num w:numId="27">
    <w:abstractNumId w:val="14"/>
  </w:num>
  <w:num w:numId="28">
    <w:abstractNumId w:val="31"/>
  </w:num>
  <w:num w:numId="29">
    <w:abstractNumId w:val="34"/>
  </w:num>
  <w:num w:numId="30">
    <w:abstractNumId w:val="20"/>
  </w:num>
  <w:num w:numId="31">
    <w:abstractNumId w:val="24"/>
  </w:num>
  <w:num w:numId="32">
    <w:abstractNumId w:val="7"/>
  </w:num>
  <w:num w:numId="33">
    <w:abstractNumId w:val="19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10172"/>
    <w:rsid w:val="00083C1A"/>
    <w:rsid w:val="000A0E1C"/>
    <w:rsid w:val="000E0D2B"/>
    <w:rsid w:val="000E6F1D"/>
    <w:rsid w:val="000F74C7"/>
    <w:rsid w:val="00102837"/>
    <w:rsid w:val="00102C84"/>
    <w:rsid w:val="00114A8D"/>
    <w:rsid w:val="0011734E"/>
    <w:rsid w:val="0012479B"/>
    <w:rsid w:val="00184C4B"/>
    <w:rsid w:val="00191AF6"/>
    <w:rsid w:val="0019358E"/>
    <w:rsid w:val="00220891"/>
    <w:rsid w:val="00236089"/>
    <w:rsid w:val="00242110"/>
    <w:rsid w:val="00242175"/>
    <w:rsid w:val="002436FE"/>
    <w:rsid w:val="0026742D"/>
    <w:rsid w:val="00286428"/>
    <w:rsid w:val="002A7202"/>
    <w:rsid w:val="002B1052"/>
    <w:rsid w:val="002B72FC"/>
    <w:rsid w:val="002E4954"/>
    <w:rsid w:val="00321604"/>
    <w:rsid w:val="0032383B"/>
    <w:rsid w:val="00326CB6"/>
    <w:rsid w:val="00347364"/>
    <w:rsid w:val="00350595"/>
    <w:rsid w:val="003E4B4F"/>
    <w:rsid w:val="003E6A0A"/>
    <w:rsid w:val="003E71F4"/>
    <w:rsid w:val="00446F81"/>
    <w:rsid w:val="00454256"/>
    <w:rsid w:val="00493884"/>
    <w:rsid w:val="004C01E5"/>
    <w:rsid w:val="004D3DB6"/>
    <w:rsid w:val="004D4468"/>
    <w:rsid w:val="004E09B1"/>
    <w:rsid w:val="00510C4D"/>
    <w:rsid w:val="00544DFD"/>
    <w:rsid w:val="00590705"/>
    <w:rsid w:val="00594B44"/>
    <w:rsid w:val="005A2E6F"/>
    <w:rsid w:val="005D18AD"/>
    <w:rsid w:val="005D1D4F"/>
    <w:rsid w:val="005D3701"/>
    <w:rsid w:val="005F0272"/>
    <w:rsid w:val="005F7184"/>
    <w:rsid w:val="006225A1"/>
    <w:rsid w:val="00624F37"/>
    <w:rsid w:val="00655C6B"/>
    <w:rsid w:val="00672EB5"/>
    <w:rsid w:val="006A5ADD"/>
    <w:rsid w:val="006E3340"/>
    <w:rsid w:val="006F557D"/>
    <w:rsid w:val="006F7AB1"/>
    <w:rsid w:val="00700AAF"/>
    <w:rsid w:val="007026E1"/>
    <w:rsid w:val="00726290"/>
    <w:rsid w:val="0074699C"/>
    <w:rsid w:val="00747DAD"/>
    <w:rsid w:val="007839CF"/>
    <w:rsid w:val="00787998"/>
    <w:rsid w:val="007B7EBA"/>
    <w:rsid w:val="007C62A2"/>
    <w:rsid w:val="007D6F8D"/>
    <w:rsid w:val="0089447A"/>
    <w:rsid w:val="008B78E7"/>
    <w:rsid w:val="008D4820"/>
    <w:rsid w:val="008E7F10"/>
    <w:rsid w:val="009105E7"/>
    <w:rsid w:val="00916E1C"/>
    <w:rsid w:val="009833B4"/>
    <w:rsid w:val="00993AFD"/>
    <w:rsid w:val="009B29D3"/>
    <w:rsid w:val="009F01FA"/>
    <w:rsid w:val="00A618AB"/>
    <w:rsid w:val="00A82DA8"/>
    <w:rsid w:val="00A85D63"/>
    <w:rsid w:val="00A9797C"/>
    <w:rsid w:val="00AA634E"/>
    <w:rsid w:val="00AA7AF2"/>
    <w:rsid w:val="00AB35E9"/>
    <w:rsid w:val="00AB44D9"/>
    <w:rsid w:val="00AE131E"/>
    <w:rsid w:val="00B13387"/>
    <w:rsid w:val="00B324E7"/>
    <w:rsid w:val="00B57B2E"/>
    <w:rsid w:val="00B82191"/>
    <w:rsid w:val="00B86931"/>
    <w:rsid w:val="00BE265A"/>
    <w:rsid w:val="00C473A4"/>
    <w:rsid w:val="00C5262B"/>
    <w:rsid w:val="00C90F50"/>
    <w:rsid w:val="00CA4518"/>
    <w:rsid w:val="00CB4A5C"/>
    <w:rsid w:val="00D01510"/>
    <w:rsid w:val="00D14DAC"/>
    <w:rsid w:val="00D23A7C"/>
    <w:rsid w:val="00D764E2"/>
    <w:rsid w:val="00E001C6"/>
    <w:rsid w:val="00E4707C"/>
    <w:rsid w:val="00E50919"/>
    <w:rsid w:val="00E54692"/>
    <w:rsid w:val="00E852E1"/>
    <w:rsid w:val="00E951EC"/>
    <w:rsid w:val="00EE4702"/>
    <w:rsid w:val="00EF79FB"/>
    <w:rsid w:val="00F67E13"/>
    <w:rsid w:val="00F96BBC"/>
    <w:rsid w:val="00FB44BD"/>
    <w:rsid w:val="00FB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6DE1E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00AAF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9118X.2012.678878" TargetMode="External"/><Relationship Id="rId13" Type="http://schemas.openxmlformats.org/officeDocument/2006/relationships/hyperlink" Target="https://doi.org/10.18235/0000694" TargetMode="External"/><Relationship Id="rId18" Type="http://schemas.openxmlformats.org/officeDocument/2006/relationships/hyperlink" Target="https://www.smashingmagazine.com/2008/01/monday-inspiration-data-visualization-and-infographics/" TargetMode="External"/><Relationship Id="rId26" Type="http://schemas.openxmlformats.org/officeDocument/2006/relationships/hyperlink" Target="https://www.sololear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ist.com/node/155574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kinsey.com/business-functions/digital-mckinsey/our-insights/big-data-the-next-frontier-for-innovation" TargetMode="External"/><Relationship Id="rId17" Type="http://schemas.openxmlformats.org/officeDocument/2006/relationships/hyperlink" Target="https://doi.org/10.1038/494155a" TargetMode="External"/><Relationship Id="rId25" Type="http://schemas.openxmlformats.org/officeDocument/2006/relationships/hyperlink" Target="https://bit.ly/1IrfU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9/MPRV.2014.30" TargetMode="External"/><Relationship Id="rId20" Type="http://schemas.openxmlformats.org/officeDocument/2006/relationships/hyperlink" Target="https://doi.org/10.1126/science.120097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57/aer.p20151023" TargetMode="External"/><Relationship Id="rId24" Type="http://schemas.openxmlformats.org/officeDocument/2006/relationships/hyperlink" Target="https://bit.ly/2oNFs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red.com/2008/06/pb-theory/" TargetMode="External"/><Relationship Id="rId23" Type="http://schemas.openxmlformats.org/officeDocument/2006/relationships/hyperlink" Target="https://bit.ly/2CqpH9h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8235/0000421" TargetMode="External"/><Relationship Id="rId19" Type="http://schemas.openxmlformats.org/officeDocument/2006/relationships/hyperlink" Target="https://www.ft.com/content/21a6e7d8-b479-11e3-a09a-00144feabdc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pers.ssrn.com/abstract=2377353" TargetMode="External"/><Relationship Id="rId14" Type="http://schemas.openxmlformats.org/officeDocument/2006/relationships/hyperlink" Target="https://publications.iadb.org/handle/11319/7884" TargetMode="External"/><Relationship Id="rId22" Type="http://schemas.openxmlformats.org/officeDocument/2006/relationships/hyperlink" Target="https://www.nytimes.com/2015/07/10/upshot/when-algorithms-discriminate.htm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1A33F-9E2B-48D3-8B44-B315DE1A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Rilling</dc:creator>
  <cp:lastModifiedBy>Patricio Andres Rodriguez Valdes (prodriguez)</cp:lastModifiedBy>
  <cp:revision>2</cp:revision>
  <cp:lastPrinted>2013-03-27T16:49:00Z</cp:lastPrinted>
  <dcterms:created xsi:type="dcterms:W3CDTF">2018-12-26T19:43:00Z</dcterms:created>
  <dcterms:modified xsi:type="dcterms:W3CDTF">2018-12-26T19:43:00Z</dcterms:modified>
</cp:coreProperties>
</file>