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167A4" w14:textId="77777777" w:rsidR="00A83D68" w:rsidRPr="00555E9F" w:rsidRDefault="00A83D68">
      <w:pPr>
        <w:keepNext/>
        <w:spacing w:after="0" w:line="240" w:lineRule="auto"/>
        <w:ind w:right="-800"/>
        <w:jc w:val="center"/>
        <w:rPr>
          <w:rFonts w:asciiTheme="minorHAnsi" w:eastAsia="Book Antiqua" w:hAnsiTheme="minorHAnsi" w:cs="Book Antiqua"/>
          <w:color w:val="1F497D"/>
        </w:rPr>
      </w:pPr>
      <w:bookmarkStart w:id="0" w:name="_GoBack"/>
      <w:bookmarkEnd w:id="0"/>
    </w:p>
    <w:tbl>
      <w:tblPr>
        <w:tblStyle w:val="a1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6266"/>
      </w:tblGrid>
      <w:tr w:rsidR="00A83D68" w:rsidRPr="00555E9F" w14:paraId="66B4AC5F" w14:textId="77777777">
        <w:trPr>
          <w:trHeight w:val="220"/>
        </w:trPr>
        <w:tc>
          <w:tcPr>
            <w:tcW w:w="8830" w:type="dxa"/>
            <w:gridSpan w:val="2"/>
            <w:shd w:val="clear" w:color="auto" w:fill="C9C9C9"/>
          </w:tcPr>
          <w:p w14:paraId="231B3B0A" w14:textId="77777777" w:rsidR="00A83D68" w:rsidRPr="00555E9F" w:rsidRDefault="001161A4">
            <w:pPr>
              <w:jc w:val="center"/>
              <w:rPr>
                <w:rFonts w:asciiTheme="minorHAnsi" w:eastAsia="Book Antiqua" w:hAnsiTheme="minorHAnsi" w:cs="Book Antiqua"/>
                <w:b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b/>
                <w:sz w:val="18"/>
                <w:szCs w:val="18"/>
              </w:rPr>
              <w:t>PROGRAMA</w:t>
            </w:r>
          </w:p>
        </w:tc>
      </w:tr>
      <w:tr w:rsidR="00A83D68" w:rsidRPr="00555E9F" w14:paraId="274531EE" w14:textId="77777777">
        <w:tc>
          <w:tcPr>
            <w:tcW w:w="2564" w:type="dxa"/>
          </w:tcPr>
          <w:p w14:paraId="3C45AC20" w14:textId="77777777" w:rsidR="00A83D68" w:rsidRPr="00555E9F" w:rsidRDefault="001161A4">
            <w:pPr>
              <w:rPr>
                <w:rFonts w:asciiTheme="minorHAnsi" w:eastAsia="Book Antiqua" w:hAnsiTheme="minorHAnsi" w:cs="Book Antiqua"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>Nombre del curso</w:t>
            </w:r>
          </w:p>
        </w:tc>
        <w:tc>
          <w:tcPr>
            <w:tcW w:w="6266" w:type="dxa"/>
          </w:tcPr>
          <w:p w14:paraId="57E92BE1" w14:textId="77777777" w:rsidR="00A83D68" w:rsidRPr="00555E9F" w:rsidRDefault="0044725A" w:rsidP="007F11F2">
            <w:pPr>
              <w:rPr>
                <w:rFonts w:asciiTheme="minorHAnsi" w:eastAsia="Book Antiqua" w:hAnsiTheme="minorHAnsi" w:cs="Book Antiqua"/>
                <w:b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b/>
                <w:sz w:val="18"/>
                <w:szCs w:val="18"/>
              </w:rPr>
              <w:t>Clínica Jurídica I</w:t>
            </w:r>
          </w:p>
        </w:tc>
      </w:tr>
      <w:tr w:rsidR="00A83D68" w:rsidRPr="00555E9F" w14:paraId="5DD47224" w14:textId="77777777">
        <w:tc>
          <w:tcPr>
            <w:tcW w:w="2564" w:type="dxa"/>
          </w:tcPr>
          <w:p w14:paraId="24992D1D" w14:textId="77777777" w:rsidR="00A83D68" w:rsidRPr="00555E9F" w:rsidRDefault="001161A4">
            <w:pPr>
              <w:rPr>
                <w:rFonts w:asciiTheme="minorHAnsi" w:eastAsia="Book Antiqua" w:hAnsiTheme="minorHAnsi" w:cs="Book Antiqua"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>Naturaleza del curso</w:t>
            </w:r>
          </w:p>
        </w:tc>
        <w:tc>
          <w:tcPr>
            <w:tcW w:w="6266" w:type="dxa"/>
          </w:tcPr>
          <w:p w14:paraId="2364671C" w14:textId="77777777" w:rsidR="00A83D68" w:rsidRPr="00555E9F" w:rsidRDefault="001161A4" w:rsidP="007F11F2">
            <w:pPr>
              <w:rPr>
                <w:rFonts w:asciiTheme="minorHAnsi" w:eastAsia="Book Antiqua" w:hAnsiTheme="minorHAnsi" w:cs="Book Antiqua"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>Obligatorio</w:t>
            </w:r>
          </w:p>
        </w:tc>
      </w:tr>
      <w:tr w:rsidR="00A83D68" w:rsidRPr="00555E9F" w14:paraId="0D66897B" w14:textId="77777777">
        <w:tc>
          <w:tcPr>
            <w:tcW w:w="2564" w:type="dxa"/>
          </w:tcPr>
          <w:p w14:paraId="3A2BA82B" w14:textId="77777777" w:rsidR="00A83D68" w:rsidRPr="00555E9F" w:rsidRDefault="001161A4">
            <w:pPr>
              <w:rPr>
                <w:rFonts w:asciiTheme="minorHAnsi" w:eastAsia="Book Antiqua" w:hAnsiTheme="minorHAnsi" w:cs="Book Antiqua"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>Equipo docente</w:t>
            </w:r>
          </w:p>
        </w:tc>
        <w:tc>
          <w:tcPr>
            <w:tcW w:w="6266" w:type="dxa"/>
          </w:tcPr>
          <w:p w14:paraId="37DF5256" w14:textId="77777777" w:rsidR="00A83D68" w:rsidRPr="00555E9F" w:rsidRDefault="0044725A" w:rsidP="007F11F2">
            <w:pPr>
              <w:rPr>
                <w:rFonts w:asciiTheme="minorHAnsi" w:eastAsia="Book Antiqua" w:hAnsiTheme="minorHAnsi" w:cs="Book Antiqua"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>Prof</w:t>
            </w:r>
            <w:r w:rsidR="007F11F2"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>esor:</w:t>
            </w: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 Ignacio Mujica T.</w:t>
            </w:r>
          </w:p>
        </w:tc>
      </w:tr>
      <w:tr w:rsidR="00A83D68" w:rsidRPr="00555E9F" w14:paraId="0A9CF5A7" w14:textId="77777777">
        <w:tc>
          <w:tcPr>
            <w:tcW w:w="2564" w:type="dxa"/>
          </w:tcPr>
          <w:p w14:paraId="31B4FE2A" w14:textId="77777777" w:rsidR="00A83D68" w:rsidRPr="00555E9F" w:rsidRDefault="001161A4">
            <w:pPr>
              <w:rPr>
                <w:rFonts w:asciiTheme="minorHAnsi" w:eastAsia="Book Antiqua" w:hAnsiTheme="minorHAnsi" w:cs="Book Antiqua"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>Descripción del curso</w:t>
            </w:r>
          </w:p>
        </w:tc>
        <w:tc>
          <w:tcPr>
            <w:tcW w:w="6266" w:type="dxa"/>
          </w:tcPr>
          <w:p w14:paraId="078759DE" w14:textId="772C5F27" w:rsidR="007F11F2" w:rsidRPr="00555E9F" w:rsidRDefault="007F11F2" w:rsidP="007F11F2">
            <w:pPr>
              <w:rPr>
                <w:rFonts w:asciiTheme="minorHAnsi" w:eastAsia="Book Antiqua" w:hAnsiTheme="minorHAnsi" w:cs="Book Antiqua"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El curso se organiza en tres módulos temáticos, acompañados de actividades prácticas (reales </w:t>
            </w:r>
            <w:r w:rsidR="00781526">
              <w:rPr>
                <w:rFonts w:asciiTheme="minorHAnsi" w:eastAsia="Book Antiqua" w:hAnsiTheme="minorHAnsi" w:cs="Book Antiqua"/>
                <w:sz w:val="18"/>
                <w:szCs w:val="18"/>
              </w:rPr>
              <w:t>y</w:t>
            </w: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 simuladas). Los módulos reflejan los tres niveles en los que una abogada/o debe actuar para representar efectivamente a su cliente: el nivel estratégico (¿cuál es el objetivo de mi cliente?), el nivel táctico (¿cómo alcanzar el objetivo?) y el nivel operacional (¿cómo ejecutar las acciones específicas que permiten avanzar al objetivo?). </w:t>
            </w:r>
          </w:p>
          <w:p w14:paraId="09DD6C0F" w14:textId="77777777" w:rsidR="00FC18C2" w:rsidRPr="00555E9F" w:rsidRDefault="007F11F2" w:rsidP="007F11F2">
            <w:pPr>
              <w:rPr>
                <w:rFonts w:asciiTheme="minorHAnsi" w:eastAsia="Book Antiqua" w:hAnsiTheme="minorHAnsi" w:cs="Book Antiqua"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El curso fomentará el uso de la metodología de la “teoría del caso” para articular la planificación en cada uno de estos niveles. </w:t>
            </w:r>
          </w:p>
          <w:p w14:paraId="6E8F4D7F" w14:textId="0714D0AF" w:rsidR="00FC18C2" w:rsidRPr="00555E9F" w:rsidRDefault="00FC18C2" w:rsidP="007F11F2">
            <w:pPr>
              <w:rPr>
                <w:rFonts w:asciiTheme="minorHAnsi" w:eastAsia="Book Antiqua" w:hAnsiTheme="minorHAnsi" w:cs="Book Antiqua"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Finalmente, el curso supone la realización de sesiones de discusión en la modalidad seminarios, actividades de aprendizaje simuladas y el litigio de casos reales asignados a las y los estudiantes. </w:t>
            </w:r>
          </w:p>
        </w:tc>
      </w:tr>
      <w:tr w:rsidR="00A83D68" w:rsidRPr="00555E9F" w14:paraId="143304A1" w14:textId="77777777">
        <w:tc>
          <w:tcPr>
            <w:tcW w:w="2564" w:type="dxa"/>
          </w:tcPr>
          <w:p w14:paraId="4288CC87" w14:textId="77777777" w:rsidR="00A83D68" w:rsidRPr="00555E9F" w:rsidRDefault="001161A4">
            <w:pPr>
              <w:rPr>
                <w:rFonts w:asciiTheme="minorHAnsi" w:eastAsia="Book Antiqua" w:hAnsiTheme="minorHAnsi" w:cs="Book Antiqua"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>Objetivos generales</w:t>
            </w:r>
          </w:p>
        </w:tc>
        <w:tc>
          <w:tcPr>
            <w:tcW w:w="6266" w:type="dxa"/>
          </w:tcPr>
          <w:p w14:paraId="151B2E1D" w14:textId="298BD34B" w:rsidR="007F11F2" w:rsidRPr="00555E9F" w:rsidRDefault="007F11F2" w:rsidP="007F11F2">
            <w:pPr>
              <w:numPr>
                <w:ilvl w:val="0"/>
                <w:numId w:val="2"/>
              </w:numPr>
              <w:tabs>
                <w:tab w:val="left" w:pos="383"/>
              </w:tabs>
              <w:rPr>
                <w:rFonts w:asciiTheme="minorHAnsi" w:eastAsia="Book Antiqua" w:hAnsiTheme="minorHAnsi" w:cs="Book Antiqua"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Que las/los estudiantes </w:t>
            </w:r>
            <w:r w:rsidR="005856DE"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>conozcan</w:t>
            </w: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 </w:t>
            </w:r>
            <w:r w:rsidR="0078152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y dominen </w:t>
            </w: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los distintos niveles de planificación frente a un conflicto jurídico y </w:t>
            </w:r>
            <w:r w:rsidR="0078152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reconozcan </w:t>
            </w: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>las competencias y conocimientos que cada uno de ellos supone.</w:t>
            </w:r>
          </w:p>
          <w:p w14:paraId="4EC4C48F" w14:textId="77777777" w:rsidR="007F11F2" w:rsidRPr="00555E9F" w:rsidRDefault="007F11F2" w:rsidP="007F11F2">
            <w:pPr>
              <w:numPr>
                <w:ilvl w:val="0"/>
                <w:numId w:val="2"/>
              </w:numPr>
              <w:tabs>
                <w:tab w:val="left" w:pos="383"/>
              </w:tabs>
              <w:rPr>
                <w:rFonts w:asciiTheme="minorHAnsi" w:eastAsia="Book Antiqua" w:hAnsiTheme="minorHAnsi" w:cs="Book Antiqua"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Que las/los estudiantes sean capaces de diseñar una estrategia básica de litigio frente a un conflicto jurídico. </w:t>
            </w:r>
          </w:p>
          <w:p w14:paraId="6DB57A5D" w14:textId="72E72625" w:rsidR="007F11F2" w:rsidRPr="00555E9F" w:rsidRDefault="007F11F2" w:rsidP="007F11F2">
            <w:pPr>
              <w:numPr>
                <w:ilvl w:val="0"/>
                <w:numId w:val="2"/>
              </w:numPr>
              <w:tabs>
                <w:tab w:val="left" w:pos="383"/>
              </w:tabs>
              <w:rPr>
                <w:rFonts w:asciiTheme="minorHAnsi" w:eastAsia="Book Antiqua" w:hAnsiTheme="minorHAnsi" w:cs="Book Antiqua"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Que las/los estudiantes puedan aplicar la metodología de la “teoría del caso” para </w:t>
            </w:r>
            <w:r w:rsidR="00FC18C2"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>poner en práctica</w:t>
            </w: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 la estrategia legal definida ante un conflicto jurídico. </w:t>
            </w:r>
          </w:p>
          <w:p w14:paraId="66242883" w14:textId="77777777" w:rsidR="00A83D68" w:rsidRPr="00555E9F" w:rsidRDefault="007F11F2" w:rsidP="007F11F2">
            <w:pPr>
              <w:numPr>
                <w:ilvl w:val="0"/>
                <w:numId w:val="2"/>
              </w:numPr>
              <w:tabs>
                <w:tab w:val="left" w:pos="383"/>
              </w:tabs>
              <w:rPr>
                <w:rFonts w:asciiTheme="minorHAnsi" w:eastAsia="Book Antiqua" w:hAnsiTheme="minorHAnsi" w:cs="Book Antiqua"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>Que las/los estudiantes dominen un set de competencias básicas en materia de litigación.</w:t>
            </w:r>
          </w:p>
        </w:tc>
      </w:tr>
      <w:tr w:rsidR="00A83D68" w:rsidRPr="00555E9F" w14:paraId="24DADB4E" w14:textId="77777777">
        <w:tc>
          <w:tcPr>
            <w:tcW w:w="2564" w:type="dxa"/>
          </w:tcPr>
          <w:p w14:paraId="04456291" w14:textId="77777777" w:rsidR="00A83D68" w:rsidRPr="00555E9F" w:rsidRDefault="001161A4">
            <w:pPr>
              <w:rPr>
                <w:rFonts w:asciiTheme="minorHAnsi" w:eastAsia="Book Antiqua" w:hAnsiTheme="minorHAnsi" w:cs="Book Antiqua"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>Objetivos específicos</w:t>
            </w:r>
          </w:p>
        </w:tc>
        <w:tc>
          <w:tcPr>
            <w:tcW w:w="6266" w:type="dxa"/>
          </w:tcPr>
          <w:p w14:paraId="74E3127D" w14:textId="77777777" w:rsidR="000F41C5" w:rsidRPr="00555E9F" w:rsidRDefault="000F41C5" w:rsidP="00BB607F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  <w:lang w:val="es-CL"/>
              </w:rPr>
            </w:pPr>
            <w:r w:rsidRPr="00555E9F">
              <w:rPr>
                <w:sz w:val="18"/>
                <w:szCs w:val="18"/>
                <w:lang w:val="es-CL"/>
              </w:rPr>
              <w:t>Aplicar la teoría del caso para confrontar un caso real o simulado.</w:t>
            </w:r>
          </w:p>
          <w:p w14:paraId="46493FFE" w14:textId="77777777" w:rsidR="000F41C5" w:rsidRPr="00555E9F" w:rsidRDefault="000F41C5" w:rsidP="00BB607F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  <w:lang w:val="es-CL"/>
              </w:rPr>
            </w:pPr>
            <w:r w:rsidRPr="00555E9F">
              <w:rPr>
                <w:sz w:val="18"/>
                <w:szCs w:val="18"/>
                <w:lang w:val="es-CL"/>
              </w:rPr>
              <w:t>Determinar y ejecutar las acciones específicas destinadas a dar curso a la estrategia definida para un caso.</w:t>
            </w:r>
          </w:p>
          <w:p w14:paraId="0328D369" w14:textId="77777777" w:rsidR="007F11F2" w:rsidRPr="00555E9F" w:rsidRDefault="000F41C5" w:rsidP="00BB607F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  <w:lang w:val="es-CL"/>
              </w:rPr>
            </w:pPr>
            <w:r w:rsidRPr="00555E9F">
              <w:rPr>
                <w:sz w:val="18"/>
                <w:szCs w:val="18"/>
                <w:lang w:val="es-CL"/>
              </w:rPr>
              <w:t>Conducir una relación cliente – abogado cumpliendo con las obligaciones éticas aplicables.</w:t>
            </w:r>
          </w:p>
          <w:p w14:paraId="50431858" w14:textId="77777777" w:rsidR="007F11F2" w:rsidRPr="00555E9F" w:rsidRDefault="007F11F2" w:rsidP="00BB607F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  <w:lang w:val="es-CL"/>
              </w:rPr>
            </w:pPr>
            <w:r w:rsidRPr="00555E9F">
              <w:rPr>
                <w:sz w:val="18"/>
                <w:szCs w:val="18"/>
                <w:lang w:val="es-CL"/>
              </w:rPr>
              <w:t>Aplicar técnicas básicas de entrevista de clientes.</w:t>
            </w:r>
          </w:p>
          <w:p w14:paraId="3909C076" w14:textId="73B6DEA6" w:rsidR="007F11F2" w:rsidRPr="00555E9F" w:rsidRDefault="009941B1" w:rsidP="00BB607F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  <w:lang w:val="es-CL"/>
              </w:rPr>
            </w:pPr>
            <w:r w:rsidRPr="00555E9F">
              <w:rPr>
                <w:sz w:val="18"/>
                <w:szCs w:val="18"/>
                <w:lang w:val="es-CL"/>
              </w:rPr>
              <w:t>Emplear</w:t>
            </w:r>
            <w:r w:rsidR="007F11F2" w:rsidRPr="00555E9F">
              <w:rPr>
                <w:sz w:val="18"/>
                <w:szCs w:val="18"/>
                <w:lang w:val="es-CL"/>
              </w:rPr>
              <w:t xml:space="preserve"> técnicas de redacción legal efectiva.</w:t>
            </w:r>
          </w:p>
          <w:p w14:paraId="46294D34" w14:textId="77777777" w:rsidR="007F11F2" w:rsidRPr="00555E9F" w:rsidRDefault="007F11F2" w:rsidP="00BB607F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  <w:lang w:val="es-CL"/>
              </w:rPr>
            </w:pPr>
            <w:r w:rsidRPr="00555E9F">
              <w:rPr>
                <w:sz w:val="18"/>
                <w:szCs w:val="18"/>
                <w:lang w:val="es-CL"/>
              </w:rPr>
              <w:t>Aplicar técnicas básicas de presentación de prueba.</w:t>
            </w:r>
          </w:p>
          <w:p w14:paraId="398391AB" w14:textId="77777777" w:rsidR="007F11F2" w:rsidRPr="00555E9F" w:rsidRDefault="007F11F2" w:rsidP="00BB607F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  <w:lang w:val="es-CL"/>
              </w:rPr>
            </w:pPr>
            <w:r w:rsidRPr="00555E9F">
              <w:rPr>
                <w:sz w:val="18"/>
                <w:szCs w:val="18"/>
                <w:lang w:val="es-CL"/>
              </w:rPr>
              <w:t xml:space="preserve">Conocer y aplicar técnicas básicas de litigación oral. </w:t>
            </w:r>
          </w:p>
          <w:p w14:paraId="0778156E" w14:textId="77777777" w:rsidR="00A83D68" w:rsidRPr="00555E9F" w:rsidRDefault="007F11F2" w:rsidP="00BB607F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  <w:lang w:val="es-CL"/>
              </w:rPr>
            </w:pPr>
            <w:r w:rsidRPr="00555E9F">
              <w:rPr>
                <w:sz w:val="18"/>
                <w:szCs w:val="18"/>
                <w:lang w:val="es-CL"/>
              </w:rPr>
              <w:t>Demostrar capacidad de trabajo en equipo, identificando y potenciando las competencias específicas de sus compañeras/os.</w:t>
            </w:r>
          </w:p>
        </w:tc>
      </w:tr>
      <w:tr w:rsidR="00A83D68" w:rsidRPr="00555E9F" w14:paraId="0E6CDF93" w14:textId="77777777" w:rsidTr="009941B1">
        <w:trPr>
          <w:trHeight w:val="1883"/>
        </w:trPr>
        <w:tc>
          <w:tcPr>
            <w:tcW w:w="2564" w:type="dxa"/>
          </w:tcPr>
          <w:p w14:paraId="7B1BF79B" w14:textId="77777777" w:rsidR="00A83D68" w:rsidRPr="00555E9F" w:rsidRDefault="001161A4">
            <w:pPr>
              <w:rPr>
                <w:rFonts w:asciiTheme="minorHAnsi" w:eastAsia="Book Antiqua" w:hAnsiTheme="minorHAnsi" w:cs="Book Antiqua"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>Contenidos</w:t>
            </w:r>
          </w:p>
        </w:tc>
        <w:tc>
          <w:tcPr>
            <w:tcW w:w="6266" w:type="dxa"/>
          </w:tcPr>
          <w:p w14:paraId="7AF6DEF4" w14:textId="77777777" w:rsidR="000F41C5" w:rsidRPr="00555E9F" w:rsidRDefault="000F41C5" w:rsidP="00BB607F">
            <w:pPr>
              <w:pStyle w:val="Prrafodelista"/>
              <w:numPr>
                <w:ilvl w:val="0"/>
                <w:numId w:val="7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El diseño de la estrategia legal</w:t>
            </w:r>
          </w:p>
          <w:p w14:paraId="6BD43B56" w14:textId="77777777" w:rsidR="000F41C5" w:rsidRPr="00555E9F" w:rsidRDefault="000F41C5" w:rsidP="00BB607F">
            <w:pPr>
              <w:pStyle w:val="Prrafodelista"/>
              <w:numPr>
                <w:ilvl w:val="0"/>
                <w:numId w:val="7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El desarrollo de la entrevista del cliente</w:t>
            </w:r>
          </w:p>
          <w:p w14:paraId="47F54675" w14:textId="77777777" w:rsidR="000F41C5" w:rsidRPr="00555E9F" w:rsidRDefault="000F41C5" w:rsidP="00BB607F">
            <w:pPr>
              <w:pStyle w:val="Prrafodelista"/>
              <w:numPr>
                <w:ilvl w:val="0"/>
                <w:numId w:val="7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Los aspectos éticos de la relación cliente-abogado</w:t>
            </w:r>
          </w:p>
          <w:p w14:paraId="279CC5DB" w14:textId="77777777" w:rsidR="000F41C5" w:rsidRPr="00555E9F" w:rsidRDefault="000F41C5" w:rsidP="00BB607F">
            <w:pPr>
              <w:pStyle w:val="Prrafodelista"/>
              <w:numPr>
                <w:ilvl w:val="0"/>
                <w:numId w:val="7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La teoría del caso</w:t>
            </w:r>
          </w:p>
          <w:p w14:paraId="445F23BF" w14:textId="77777777" w:rsidR="000F41C5" w:rsidRPr="00555E9F" w:rsidRDefault="000F41C5" w:rsidP="00BB607F">
            <w:pPr>
              <w:pStyle w:val="Prrafodelista"/>
              <w:numPr>
                <w:ilvl w:val="0"/>
                <w:numId w:val="7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La redacción de escritos judiciales</w:t>
            </w:r>
          </w:p>
          <w:p w14:paraId="10EB3147" w14:textId="77777777" w:rsidR="000F41C5" w:rsidRPr="00555E9F" w:rsidRDefault="000F41C5" w:rsidP="00BB607F">
            <w:pPr>
              <w:pStyle w:val="Prrafodelista"/>
              <w:numPr>
                <w:ilvl w:val="0"/>
                <w:numId w:val="7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La negociación en el marco de un proceso judicial</w:t>
            </w:r>
          </w:p>
          <w:p w14:paraId="29CE30EF" w14:textId="77777777" w:rsidR="000F41C5" w:rsidRPr="00555E9F" w:rsidRDefault="000F41C5" w:rsidP="00BB607F">
            <w:pPr>
              <w:pStyle w:val="Prrafodelista"/>
              <w:numPr>
                <w:ilvl w:val="0"/>
                <w:numId w:val="7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La incorporación de la prueba</w:t>
            </w:r>
          </w:p>
          <w:p w14:paraId="663806E1" w14:textId="77777777" w:rsidR="000F41C5" w:rsidRPr="00555E9F" w:rsidRDefault="000F41C5" w:rsidP="00BB607F">
            <w:pPr>
              <w:pStyle w:val="Prrafodelista"/>
              <w:numPr>
                <w:ilvl w:val="0"/>
                <w:numId w:val="7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La litigación oral</w:t>
            </w:r>
          </w:p>
        </w:tc>
      </w:tr>
      <w:tr w:rsidR="00A83D68" w:rsidRPr="00555E9F" w14:paraId="720E5BF4" w14:textId="77777777">
        <w:tc>
          <w:tcPr>
            <w:tcW w:w="2564" w:type="dxa"/>
          </w:tcPr>
          <w:p w14:paraId="52F89417" w14:textId="77777777" w:rsidR="00A83D68" w:rsidRPr="00555E9F" w:rsidRDefault="001161A4">
            <w:pPr>
              <w:rPr>
                <w:rFonts w:asciiTheme="minorHAnsi" w:eastAsia="Book Antiqua" w:hAnsiTheme="minorHAnsi" w:cs="Book Antiqua"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>Régimen de asistencia</w:t>
            </w:r>
          </w:p>
        </w:tc>
        <w:tc>
          <w:tcPr>
            <w:tcW w:w="6266" w:type="dxa"/>
          </w:tcPr>
          <w:p w14:paraId="25561272" w14:textId="77777777" w:rsidR="00A83D68" w:rsidRPr="00555E9F" w:rsidRDefault="000F41C5" w:rsidP="000F41C5">
            <w:pPr>
              <w:rPr>
                <w:rFonts w:asciiTheme="minorHAnsi" w:eastAsia="Book Antiqua" w:hAnsiTheme="minorHAnsi" w:cs="Book Antiqua"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>90% de las clases efectivamente realizadas en el semestre.</w:t>
            </w:r>
          </w:p>
        </w:tc>
      </w:tr>
      <w:tr w:rsidR="00A83D68" w:rsidRPr="00555E9F" w14:paraId="5237C275" w14:textId="77777777">
        <w:tc>
          <w:tcPr>
            <w:tcW w:w="2564" w:type="dxa"/>
          </w:tcPr>
          <w:p w14:paraId="2BEA96DA" w14:textId="77777777" w:rsidR="00A83D68" w:rsidRPr="00555E9F" w:rsidRDefault="001161A4">
            <w:pPr>
              <w:rPr>
                <w:rFonts w:asciiTheme="minorHAnsi" w:eastAsia="Book Antiqua" w:hAnsiTheme="minorHAnsi" w:cs="Book Antiqua"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>Sistema de evaluaciones</w:t>
            </w:r>
          </w:p>
        </w:tc>
        <w:tc>
          <w:tcPr>
            <w:tcW w:w="6266" w:type="dxa"/>
          </w:tcPr>
          <w:p w14:paraId="3C52FC5C" w14:textId="77777777" w:rsidR="00A83D68" w:rsidRPr="00555E9F" w:rsidRDefault="00D100C8" w:rsidP="00D100C8">
            <w:pPr>
              <w:rPr>
                <w:rFonts w:asciiTheme="minorHAnsi" w:eastAsia="Book Antiqua" w:hAnsiTheme="minorHAnsi" w:cs="Book Antiqua"/>
                <w:bCs/>
                <w:iCs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bCs/>
                <w:iCs/>
                <w:sz w:val="18"/>
                <w:szCs w:val="18"/>
              </w:rPr>
              <w:t>El curso contará con una serie de actividades evaluadas y un examen.</w:t>
            </w:r>
          </w:p>
          <w:p w14:paraId="5C9AE049" w14:textId="02B4AC73" w:rsidR="00D100C8" w:rsidRPr="00555E9F" w:rsidRDefault="00D100C8" w:rsidP="00D100C8">
            <w:pPr>
              <w:pStyle w:val="Prrafodelista"/>
              <w:numPr>
                <w:ilvl w:val="0"/>
                <w:numId w:val="11"/>
              </w:numPr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  <w:t>Actividades evaluadas:</w:t>
            </w:r>
          </w:p>
          <w:p w14:paraId="0FEB2CFA" w14:textId="77777777" w:rsidR="00721E77" w:rsidRPr="00555E9F" w:rsidRDefault="00721E77" w:rsidP="00721E77">
            <w:pPr>
              <w:pStyle w:val="Prrafodelista"/>
              <w:numPr>
                <w:ilvl w:val="1"/>
                <w:numId w:val="11"/>
              </w:numPr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  <w:t>Evaluación de carpetas de los casos reales asignados.</w:t>
            </w:r>
          </w:p>
          <w:p w14:paraId="68485A8B" w14:textId="78368F3C" w:rsidR="00D100C8" w:rsidRPr="00555E9F" w:rsidRDefault="00D100C8" w:rsidP="00D100C8">
            <w:pPr>
              <w:pStyle w:val="Prrafodelista"/>
              <w:numPr>
                <w:ilvl w:val="1"/>
                <w:numId w:val="11"/>
              </w:numPr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  <w:t>Elaboración de una minuta de estrategia para el caso simulado asignado.</w:t>
            </w:r>
          </w:p>
          <w:p w14:paraId="0971B0DA" w14:textId="5C2FCC13" w:rsidR="00D100C8" w:rsidRPr="00555E9F" w:rsidRDefault="00D100C8" w:rsidP="00D100C8">
            <w:pPr>
              <w:pStyle w:val="Prrafodelista"/>
              <w:numPr>
                <w:ilvl w:val="1"/>
                <w:numId w:val="11"/>
              </w:numPr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  <w:t>Simulación de entrevista a cliente o testigo.</w:t>
            </w:r>
          </w:p>
          <w:p w14:paraId="21821D41" w14:textId="3E36759E" w:rsidR="00D100C8" w:rsidRPr="00555E9F" w:rsidRDefault="00FC18C2" w:rsidP="00D100C8">
            <w:pPr>
              <w:pStyle w:val="Prrafodelista"/>
              <w:numPr>
                <w:ilvl w:val="1"/>
                <w:numId w:val="11"/>
              </w:numPr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  <w:t>Elaboración y presentación de e</w:t>
            </w:r>
            <w:r w:rsidR="00D100C8" w:rsidRPr="00555E9F"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  <w:t>scritos centrales al caso simulado.</w:t>
            </w:r>
          </w:p>
          <w:p w14:paraId="5FFCE121" w14:textId="7A10A5F0" w:rsidR="00D100C8" w:rsidRPr="00555E9F" w:rsidRDefault="00D100C8" w:rsidP="00D100C8">
            <w:pPr>
              <w:pStyle w:val="Prrafodelista"/>
              <w:numPr>
                <w:ilvl w:val="1"/>
                <w:numId w:val="11"/>
              </w:numPr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  <w:t>Alegaciones orales.</w:t>
            </w:r>
          </w:p>
          <w:p w14:paraId="61AA02BC" w14:textId="34EC5AE9" w:rsidR="00D100C8" w:rsidRPr="00555E9F" w:rsidRDefault="00D100C8" w:rsidP="00721E77">
            <w:pPr>
              <w:pStyle w:val="Prrafodelista"/>
              <w:numPr>
                <w:ilvl w:val="0"/>
                <w:numId w:val="11"/>
              </w:numPr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  <w:t>Examen:</w:t>
            </w:r>
            <w:r w:rsidR="00721E77" w:rsidRPr="00555E9F"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  <w:t xml:space="preserve"> El examen consiste en confrontar un </w:t>
            </w:r>
            <w:r w:rsidRPr="00555E9F"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  <w:t>caso</w:t>
            </w:r>
            <w:r w:rsidR="00FC18C2" w:rsidRPr="00555E9F"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  <w:t xml:space="preserve"> </w:t>
            </w:r>
            <w:r w:rsidR="00721E77" w:rsidRPr="00555E9F"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  <w:t xml:space="preserve">hipotético </w:t>
            </w:r>
            <w:r w:rsidRPr="00555E9F"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  <w:t>preparado</w:t>
            </w:r>
            <w:r w:rsidR="00FC18C2" w:rsidRPr="00555E9F"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  <w:t xml:space="preserve"> </w:t>
            </w:r>
            <w:r w:rsidRPr="00555E9F"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  <w:t>por</w:t>
            </w:r>
            <w:r w:rsidR="00FC18C2" w:rsidRPr="00555E9F"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  <w:t xml:space="preserve"> </w:t>
            </w:r>
            <w:r w:rsidRPr="00555E9F"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  <w:t>el</w:t>
            </w:r>
            <w:r w:rsidR="00FC18C2" w:rsidRPr="00555E9F"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  <w:t xml:space="preserve"> </w:t>
            </w:r>
            <w:r w:rsidRPr="00555E9F"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  <w:t>departamento</w:t>
            </w:r>
            <w:r w:rsidR="00721E77" w:rsidRPr="00555E9F"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  <w:t>. La actividad se divide en una sección escrita y una oral. La examinación escrita supone la preparación de un insumo legal para confrontar el caso y en ella se evalúa la redacción legal, el uso de la teoría del caso y el fondo de la argumentación legal empleada. La evaluación oral supone una discusión sobre el fondo de la acción y su fundamentación, la estrategia adoptada frente al caso, las peticiones formuladas y la identificación de otras vías de resolución</w:t>
            </w:r>
            <w:r w:rsidRPr="00555E9F">
              <w:rPr>
                <w:rFonts w:eastAsia="Book Antiqua" w:cs="Book Antiqua"/>
                <w:bCs/>
                <w:iCs/>
                <w:sz w:val="18"/>
                <w:szCs w:val="18"/>
                <w:lang w:val="es-CL"/>
              </w:rPr>
              <w:t>.</w:t>
            </w:r>
          </w:p>
        </w:tc>
      </w:tr>
      <w:tr w:rsidR="00A83D68" w:rsidRPr="00555E9F" w14:paraId="66760A91" w14:textId="77777777">
        <w:trPr>
          <w:trHeight w:val="220"/>
        </w:trPr>
        <w:tc>
          <w:tcPr>
            <w:tcW w:w="8830" w:type="dxa"/>
            <w:gridSpan w:val="2"/>
            <w:shd w:val="clear" w:color="auto" w:fill="D9D9D9"/>
          </w:tcPr>
          <w:p w14:paraId="701811F6" w14:textId="52FE385F" w:rsidR="00A83D68" w:rsidRPr="00555E9F" w:rsidRDefault="001161A4">
            <w:pPr>
              <w:rPr>
                <w:rFonts w:asciiTheme="minorHAnsi" w:eastAsia="Book Antiqua" w:hAnsiTheme="minorHAnsi" w:cs="Book Antiqua"/>
                <w:b/>
                <w:i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b/>
                <w:sz w:val="18"/>
                <w:szCs w:val="18"/>
              </w:rPr>
              <w:t xml:space="preserve">Bibliografía </w:t>
            </w:r>
          </w:p>
        </w:tc>
      </w:tr>
      <w:tr w:rsidR="00A83D68" w:rsidRPr="00555E9F" w14:paraId="5FC674C9" w14:textId="77777777">
        <w:tc>
          <w:tcPr>
            <w:tcW w:w="2564" w:type="dxa"/>
            <w:shd w:val="clear" w:color="auto" w:fill="auto"/>
          </w:tcPr>
          <w:p w14:paraId="25C64741" w14:textId="77777777" w:rsidR="00A83D68" w:rsidRPr="00555E9F" w:rsidRDefault="001161A4">
            <w:pPr>
              <w:rPr>
                <w:rFonts w:asciiTheme="minorHAnsi" w:eastAsia="Book Antiqua" w:hAnsiTheme="minorHAnsi" w:cs="Book Antiqua"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>Bibliografía obligatoria</w:t>
            </w:r>
          </w:p>
          <w:p w14:paraId="598054C9" w14:textId="52C05154" w:rsidR="00555E9F" w:rsidRPr="00555E9F" w:rsidRDefault="00555E9F">
            <w:pPr>
              <w:rPr>
                <w:rFonts w:asciiTheme="minorHAnsi" w:eastAsia="Book Antiqua" w:hAnsiTheme="minorHAnsi" w:cs="Book Antiqua"/>
                <w:sz w:val="18"/>
                <w:szCs w:val="18"/>
              </w:rPr>
            </w:pPr>
          </w:p>
        </w:tc>
        <w:tc>
          <w:tcPr>
            <w:tcW w:w="6266" w:type="dxa"/>
            <w:shd w:val="clear" w:color="auto" w:fill="auto"/>
          </w:tcPr>
          <w:p w14:paraId="2B418361" w14:textId="4A4AF415" w:rsidR="00F24755" w:rsidRPr="00555E9F" w:rsidRDefault="00F24755" w:rsidP="00F24755">
            <w:pPr>
              <w:pStyle w:val="Prrafodelista"/>
              <w:numPr>
                <w:ilvl w:val="0"/>
                <w:numId w:val="4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Mirjan Damaska, Las Caras de la Justicia y el Poder del Estado (extracto).</w:t>
            </w:r>
          </w:p>
          <w:p w14:paraId="43EA6F5E" w14:textId="2E245B95" w:rsidR="0020174C" w:rsidRPr="00555E9F" w:rsidRDefault="0020174C" w:rsidP="0020174C">
            <w:pPr>
              <w:pStyle w:val="Prrafodelista"/>
              <w:numPr>
                <w:ilvl w:val="0"/>
                <w:numId w:val="4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781526">
              <w:rPr>
                <w:rFonts w:eastAsia="Book Antiqua" w:cs="Book Antiqua"/>
                <w:sz w:val="18"/>
                <w:szCs w:val="18"/>
              </w:rPr>
              <w:lastRenderedPageBreak/>
              <w:t xml:space="preserve">Cass R. Sunstein &amp; Thomas J. Miles, "The New Legal Realism" (John M. Olin Program in Law and Economics Working Paper No. 372, 2007). </w:t>
            </w: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(extractos traducidos).</w:t>
            </w:r>
          </w:p>
          <w:p w14:paraId="0B59EA59" w14:textId="77777777" w:rsidR="00F24755" w:rsidRPr="00555E9F" w:rsidRDefault="00F24755" w:rsidP="00F24755">
            <w:pPr>
              <w:pStyle w:val="Prrafodelista"/>
              <w:numPr>
                <w:ilvl w:val="0"/>
                <w:numId w:val="4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Christian Courtis, “La educación clínica como práctica transformadora”.</w:t>
            </w:r>
          </w:p>
          <w:p w14:paraId="1424E769" w14:textId="77777777" w:rsidR="00555E9F" w:rsidRPr="00555E9F" w:rsidRDefault="00555E9F" w:rsidP="00555E9F">
            <w:pPr>
              <w:pStyle w:val="Prrafodelista"/>
              <w:numPr>
                <w:ilvl w:val="0"/>
                <w:numId w:val="4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</w:rPr>
              <w:t xml:space="preserve">Binder, Bergman, &amp; Price, Lawyers as Counselors: A Client Centered Approach. </w:t>
            </w: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(extractos traducidos).</w:t>
            </w:r>
          </w:p>
          <w:p w14:paraId="39E76343" w14:textId="553649DD" w:rsidR="00346B77" w:rsidRPr="00555E9F" w:rsidRDefault="00346B77" w:rsidP="00F24755">
            <w:pPr>
              <w:pStyle w:val="Prrafodelista"/>
              <w:numPr>
                <w:ilvl w:val="0"/>
                <w:numId w:val="4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Á. Anríquez, P. Fuenzalida y L. Sierra, Ética de la abogacía en Chile: el problema de la regulación. Centro de Estudios Públicos, Debates de Política Pública, Número 34, octubre 2019.</w:t>
            </w:r>
          </w:p>
          <w:p w14:paraId="3043CD8A" w14:textId="77777777" w:rsidR="00F24755" w:rsidRPr="00555E9F" w:rsidRDefault="00F24755" w:rsidP="00F24755">
            <w:pPr>
              <w:pStyle w:val="Prrafodelista"/>
              <w:numPr>
                <w:ilvl w:val="0"/>
                <w:numId w:val="4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Paul Bergman, La defensa en Juicio (extractos).</w:t>
            </w:r>
          </w:p>
          <w:p w14:paraId="3430F369" w14:textId="1C4EC36E" w:rsidR="00F24755" w:rsidRPr="00555E9F" w:rsidRDefault="00F24755" w:rsidP="00F24755">
            <w:pPr>
              <w:pStyle w:val="Prrafodelista"/>
              <w:numPr>
                <w:ilvl w:val="0"/>
                <w:numId w:val="4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Mauricio Duce y Andrés Baytelman. Litigación Penal Juicio Oral y prueba</w:t>
            </w:r>
            <w:r w:rsidR="00FC18C2" w:rsidRPr="00555E9F">
              <w:rPr>
                <w:rFonts w:eastAsia="Book Antiqua" w:cs="Book Antiqua"/>
                <w:sz w:val="18"/>
                <w:szCs w:val="18"/>
                <w:lang w:val="es-CL"/>
              </w:rPr>
              <w:t xml:space="preserve"> </w:t>
            </w:r>
            <w:r w:rsidR="00555E9F" w:rsidRPr="00555E9F">
              <w:rPr>
                <w:rFonts w:eastAsia="Book Antiqua" w:cs="Book Antiqua"/>
                <w:sz w:val="18"/>
                <w:szCs w:val="18"/>
                <w:lang w:val="es-CL"/>
              </w:rPr>
              <w:t>(extractos).</w:t>
            </w:r>
          </w:p>
          <w:p w14:paraId="7635F844" w14:textId="102F8058" w:rsidR="00555E9F" w:rsidRPr="00555E9F" w:rsidRDefault="00555E9F" w:rsidP="00555E9F">
            <w:pPr>
              <w:pStyle w:val="Prrafodelista"/>
              <w:numPr>
                <w:ilvl w:val="0"/>
                <w:numId w:val="4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Rodrigo Alcaíno y Matías Cortés, Cuso elemental de litigación oral, Editorial Jurídica de Chile, reimpresión 2020 (extractos).</w:t>
            </w:r>
          </w:p>
          <w:p w14:paraId="77085ADD" w14:textId="140B26AE" w:rsidR="00555E9F" w:rsidRPr="00555E9F" w:rsidRDefault="00555E9F" w:rsidP="00F24755">
            <w:pPr>
              <w:pStyle w:val="Prrafodelista"/>
              <w:numPr>
                <w:ilvl w:val="0"/>
                <w:numId w:val="4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Rodrigo Matus De la Fuente. La Premisa Fáctica. Consideraciones Metodológicas para su Establecimiento en el Contexto Judicial. Thomson-Reuters, 2019 (extractos).</w:t>
            </w:r>
          </w:p>
          <w:p w14:paraId="54F6D989" w14:textId="3495EF41" w:rsidR="00F24755" w:rsidRPr="00781526" w:rsidRDefault="00F24755" w:rsidP="00F24755">
            <w:pPr>
              <w:pStyle w:val="Prrafodelista"/>
              <w:numPr>
                <w:ilvl w:val="0"/>
                <w:numId w:val="4"/>
              </w:numPr>
              <w:rPr>
                <w:rFonts w:eastAsia="Book Antiqua" w:cs="Book Antiqua"/>
                <w:sz w:val="18"/>
                <w:szCs w:val="18"/>
              </w:rPr>
            </w:pPr>
            <w:r w:rsidRPr="00781526">
              <w:rPr>
                <w:rFonts w:eastAsia="Book Antiqua" w:cs="Book Antiqua"/>
                <w:sz w:val="18"/>
                <w:szCs w:val="18"/>
              </w:rPr>
              <w:t>Lynn M. LoPucki &amp; Walter O. Weyrauch, “A Theory of Legal Strategy”, Duke Law Journal, Vol. 49, No. 6, April 2000 (extractos traducidos).</w:t>
            </w:r>
          </w:p>
          <w:p w14:paraId="1D04472C" w14:textId="5DC80B9C" w:rsidR="00F24755" w:rsidRPr="00555E9F" w:rsidRDefault="00F24755" w:rsidP="00F24755">
            <w:pPr>
              <w:pStyle w:val="Prrafodelista"/>
              <w:numPr>
                <w:ilvl w:val="0"/>
                <w:numId w:val="4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Roger Fisher y William Ury con Bruce M. Patton, Sí, de acuerdo! Como Negociar Sin Ceder</w:t>
            </w:r>
            <w:r w:rsidR="00555E9F" w:rsidRPr="00555E9F">
              <w:rPr>
                <w:rFonts w:eastAsia="Book Antiqua" w:cs="Book Antiqua"/>
                <w:sz w:val="18"/>
                <w:szCs w:val="18"/>
                <w:lang w:val="es-CL"/>
              </w:rPr>
              <w:t xml:space="preserve"> (extractos).</w:t>
            </w:r>
          </w:p>
          <w:p w14:paraId="482B13C3" w14:textId="77777777" w:rsidR="00F24755" w:rsidRPr="00555E9F" w:rsidRDefault="00F24755" w:rsidP="00F24755">
            <w:pPr>
              <w:pStyle w:val="Prrafodelista"/>
              <w:numPr>
                <w:ilvl w:val="0"/>
                <w:numId w:val="4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781526">
              <w:rPr>
                <w:rFonts w:eastAsia="Book Antiqua" w:cs="Book Antiqua"/>
                <w:sz w:val="18"/>
                <w:szCs w:val="18"/>
              </w:rPr>
              <w:t xml:space="preserve">Peggy C. Davis. Law as Microagression. </w:t>
            </w: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Yale Law Journal, vol. 98. (extractos traducidos).</w:t>
            </w:r>
          </w:p>
          <w:p w14:paraId="37A20332" w14:textId="77777777" w:rsidR="00F24755" w:rsidRPr="00555E9F" w:rsidRDefault="00F24755" w:rsidP="00F24755">
            <w:pPr>
              <w:pStyle w:val="Prrafodelista"/>
              <w:numPr>
                <w:ilvl w:val="0"/>
                <w:numId w:val="4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 xml:space="preserve">Rodrigo Valenzuela C., Conflicto y humanidades: un ensayo sobre argumentación jurídica (Capítulo “Retórica”). </w:t>
            </w:r>
          </w:p>
          <w:p w14:paraId="5D616975" w14:textId="06BCF888" w:rsidR="00F24755" w:rsidRPr="00555E9F" w:rsidRDefault="00F24755" w:rsidP="00F24755">
            <w:pPr>
              <w:pStyle w:val="Prrafodelista"/>
              <w:numPr>
                <w:ilvl w:val="0"/>
                <w:numId w:val="4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Gonzalo Rúa S., Examen directo de testigos. Didot, 2015</w:t>
            </w:r>
            <w:r w:rsidR="00346B77" w:rsidRPr="00555E9F">
              <w:rPr>
                <w:rFonts w:eastAsia="Book Antiqua" w:cs="Book Antiqua"/>
                <w:sz w:val="18"/>
                <w:szCs w:val="18"/>
                <w:lang w:val="es-CL"/>
              </w:rPr>
              <w:t xml:space="preserve"> (extractos)</w:t>
            </w:r>
            <w:r w:rsidR="00555E9F" w:rsidRPr="00555E9F">
              <w:rPr>
                <w:rFonts w:eastAsia="Book Antiqua" w:cs="Book Antiqua"/>
                <w:sz w:val="18"/>
                <w:szCs w:val="18"/>
                <w:lang w:val="es-CL"/>
              </w:rPr>
              <w:t>.</w:t>
            </w:r>
          </w:p>
          <w:p w14:paraId="10F0E86C" w14:textId="1A972564" w:rsidR="00555E9F" w:rsidRPr="00555E9F" w:rsidRDefault="00F24755" w:rsidP="00F24755">
            <w:pPr>
              <w:pStyle w:val="Prrafodelista"/>
              <w:numPr>
                <w:ilvl w:val="0"/>
                <w:numId w:val="4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Gonzalo Rúa S., Contraexamen de Testigos, Didot, 2014</w:t>
            </w:r>
            <w:r w:rsidR="00346B77" w:rsidRPr="00555E9F">
              <w:rPr>
                <w:rFonts w:eastAsia="Book Antiqua" w:cs="Book Antiqua"/>
                <w:sz w:val="18"/>
                <w:szCs w:val="18"/>
                <w:lang w:val="es-CL"/>
              </w:rPr>
              <w:t xml:space="preserve"> (extractos)</w:t>
            </w:r>
            <w:r w:rsidR="00555E9F" w:rsidRPr="00555E9F">
              <w:rPr>
                <w:rFonts w:eastAsia="Book Antiqua" w:cs="Book Antiqua"/>
                <w:sz w:val="18"/>
                <w:szCs w:val="18"/>
                <w:lang w:val="es-CL"/>
              </w:rPr>
              <w:t>.</w:t>
            </w:r>
          </w:p>
          <w:p w14:paraId="7D17949A" w14:textId="169C831A" w:rsidR="00F24755" w:rsidRPr="00555E9F" w:rsidRDefault="00555E9F" w:rsidP="00F24755">
            <w:pPr>
              <w:pStyle w:val="Prrafodelista"/>
              <w:numPr>
                <w:ilvl w:val="0"/>
                <w:numId w:val="4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Colegio de Abogados de Chile, Código de Ética Profesional (2011).</w:t>
            </w:r>
            <w:r w:rsidR="00346B77" w:rsidRPr="00555E9F">
              <w:rPr>
                <w:rFonts w:eastAsia="Book Antiqua" w:cs="Book Antiqua"/>
                <w:sz w:val="18"/>
                <w:szCs w:val="18"/>
                <w:lang w:val="es-CL"/>
              </w:rPr>
              <w:t xml:space="preserve"> </w:t>
            </w:r>
          </w:p>
          <w:p w14:paraId="0CACD5C1" w14:textId="77777777" w:rsidR="00F24755" w:rsidRPr="00555E9F" w:rsidRDefault="00F24755" w:rsidP="00F24755">
            <w:pPr>
              <w:rPr>
                <w:rFonts w:asciiTheme="minorHAnsi" w:eastAsia="Book Antiqua" w:hAnsiTheme="minorHAnsi" w:cs="Book Antiqua"/>
                <w:sz w:val="18"/>
                <w:szCs w:val="18"/>
              </w:rPr>
            </w:pPr>
          </w:p>
          <w:p w14:paraId="5D90FFB0" w14:textId="77777777" w:rsidR="00F24755" w:rsidRPr="00555E9F" w:rsidRDefault="00F24755" w:rsidP="00F24755">
            <w:pPr>
              <w:rPr>
                <w:rFonts w:asciiTheme="minorHAnsi" w:eastAsia="Book Antiqua" w:hAnsiTheme="minorHAnsi" w:cs="Book Antiqua"/>
                <w:sz w:val="18"/>
                <w:szCs w:val="18"/>
              </w:rPr>
            </w:pPr>
            <w:r w:rsidRPr="00555E9F">
              <w:rPr>
                <w:rFonts w:asciiTheme="minorHAnsi" w:eastAsia="Book Antiqua" w:hAnsiTheme="minorHAnsi" w:cs="Book Antiqua"/>
                <w:sz w:val="18"/>
                <w:szCs w:val="18"/>
              </w:rPr>
              <w:t>Otros:</w:t>
            </w:r>
          </w:p>
          <w:p w14:paraId="1EADF415" w14:textId="77777777" w:rsidR="00F24755" w:rsidRPr="00555E9F" w:rsidRDefault="00F24755" w:rsidP="00F24755">
            <w:pPr>
              <w:pStyle w:val="Prrafodelista"/>
              <w:numPr>
                <w:ilvl w:val="0"/>
                <w:numId w:val="5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Extracto de la sentencia de fondo “Atala Riffo y Niñas Vs. Chile” ante la Corte IDH.</w:t>
            </w:r>
          </w:p>
          <w:p w14:paraId="127987BF" w14:textId="77777777" w:rsidR="00F24755" w:rsidRPr="00555E9F" w:rsidRDefault="00F24755" w:rsidP="00F24755">
            <w:pPr>
              <w:pStyle w:val="Prrafodelista"/>
              <w:numPr>
                <w:ilvl w:val="0"/>
                <w:numId w:val="5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 xml:space="preserve">Extractos de acciones de protección alzas arbitrarias planes de salud. </w:t>
            </w:r>
          </w:p>
          <w:p w14:paraId="5B59741D" w14:textId="77777777" w:rsidR="00F24755" w:rsidRPr="00555E9F" w:rsidRDefault="00F24755" w:rsidP="00F24755">
            <w:pPr>
              <w:pStyle w:val="Prrafodelista"/>
              <w:numPr>
                <w:ilvl w:val="0"/>
                <w:numId w:val="5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Extracto Rol 39.654-2020 (Corte Suprema, Tercera Sala)</w:t>
            </w:r>
          </w:p>
          <w:p w14:paraId="11C8728D" w14:textId="77777777" w:rsidR="00F24755" w:rsidRPr="00555E9F" w:rsidRDefault="00F24755" w:rsidP="00F24755">
            <w:pPr>
              <w:pStyle w:val="Prrafodelista"/>
              <w:numPr>
                <w:ilvl w:val="0"/>
                <w:numId w:val="5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Extracto caso “Almonacid Arellano”</w:t>
            </w:r>
          </w:p>
          <w:p w14:paraId="51DF41EB" w14:textId="77777777" w:rsidR="00F24755" w:rsidRPr="00555E9F" w:rsidRDefault="00F24755" w:rsidP="00F24755">
            <w:pPr>
              <w:pStyle w:val="Prrafodelista"/>
              <w:numPr>
                <w:ilvl w:val="0"/>
                <w:numId w:val="5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 xml:space="preserve">Extracto querella Rol 2182-98. </w:t>
            </w:r>
          </w:p>
          <w:p w14:paraId="7CF0C523" w14:textId="77777777" w:rsidR="00F24755" w:rsidRPr="00555E9F" w:rsidRDefault="00F24755" w:rsidP="00F24755">
            <w:pPr>
              <w:pStyle w:val="Prrafodelista"/>
              <w:numPr>
                <w:ilvl w:val="0"/>
                <w:numId w:val="5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Extracto Sentencia Corte Suprema Rol N° 517-2004 (Segunda Sala).</w:t>
            </w:r>
          </w:p>
          <w:p w14:paraId="3BC7B7B7" w14:textId="77777777" w:rsidR="00F24755" w:rsidRPr="00555E9F" w:rsidRDefault="00F24755" w:rsidP="00F24755">
            <w:pPr>
              <w:pStyle w:val="Prrafodelista"/>
              <w:numPr>
                <w:ilvl w:val="0"/>
                <w:numId w:val="5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Caso “Upjohn Co. v. United States, 449 U.S. 383 (1981)” (extractos traducidos)</w:t>
            </w:r>
          </w:p>
          <w:p w14:paraId="77DFC5D0" w14:textId="77777777" w:rsidR="00F24755" w:rsidRPr="00555E9F" w:rsidRDefault="00F24755" w:rsidP="00F24755">
            <w:pPr>
              <w:pStyle w:val="Prrafodelista"/>
              <w:numPr>
                <w:ilvl w:val="0"/>
                <w:numId w:val="5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Amicus Curiae “Kim Vs. DPRK”</w:t>
            </w:r>
          </w:p>
          <w:p w14:paraId="5EB4B0B3" w14:textId="77777777" w:rsidR="00D250FB" w:rsidRPr="00555E9F" w:rsidRDefault="00F24755" w:rsidP="00D250FB">
            <w:pPr>
              <w:pStyle w:val="Prrafodelista"/>
              <w:numPr>
                <w:ilvl w:val="0"/>
                <w:numId w:val="5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rFonts w:eastAsia="Book Antiqua" w:cs="Book Antiqua"/>
                <w:sz w:val="18"/>
                <w:szCs w:val="18"/>
                <w:lang w:val="es-CL"/>
              </w:rPr>
              <w:t>Extracto de casos de control ético de la profesión legal.</w:t>
            </w:r>
          </w:p>
          <w:p w14:paraId="54EBB1D8" w14:textId="77777777" w:rsidR="00D250FB" w:rsidRPr="00555E9F" w:rsidRDefault="00D250FB" w:rsidP="00D250FB">
            <w:pPr>
              <w:pStyle w:val="Prrafodelista"/>
              <w:numPr>
                <w:ilvl w:val="0"/>
                <w:numId w:val="5"/>
              </w:numPr>
              <w:rPr>
                <w:rFonts w:eastAsia="Book Antiqua" w:cs="Book Antiqua"/>
                <w:sz w:val="18"/>
                <w:szCs w:val="18"/>
                <w:lang w:val="es-CL"/>
              </w:rPr>
            </w:pPr>
            <w:r w:rsidRPr="00555E9F">
              <w:rPr>
                <w:sz w:val="18"/>
                <w:szCs w:val="18"/>
                <w:lang w:val="es-CL"/>
              </w:rPr>
              <w:t xml:space="preserve">Miranda v. Arizona, (audio y transcripción disponible en </w:t>
            </w:r>
            <w:hyperlink r:id="rId7" w:history="1">
              <w:r w:rsidRPr="00555E9F">
                <w:rPr>
                  <w:rStyle w:val="Hipervnculo"/>
                  <w:sz w:val="18"/>
                  <w:szCs w:val="18"/>
                  <w:lang w:val="es-CL"/>
                </w:rPr>
                <w:t>https://www.oyez.org/cases/1965/759</w:t>
              </w:r>
            </w:hyperlink>
            <w:r w:rsidRPr="00555E9F">
              <w:rPr>
                <w:sz w:val="18"/>
                <w:szCs w:val="18"/>
                <w:lang w:val="es-CL"/>
              </w:rPr>
              <w:t>) (se entregará extracto traducido).</w:t>
            </w:r>
          </w:p>
          <w:p w14:paraId="72486E90" w14:textId="77777777" w:rsidR="00F24755" w:rsidRPr="00555E9F" w:rsidRDefault="00F24755" w:rsidP="00F24755">
            <w:pPr>
              <w:rPr>
                <w:rFonts w:asciiTheme="minorHAnsi" w:eastAsia="Book Antiqua" w:hAnsiTheme="minorHAnsi" w:cs="Book Antiqua"/>
                <w:sz w:val="18"/>
                <w:szCs w:val="18"/>
              </w:rPr>
            </w:pPr>
          </w:p>
        </w:tc>
      </w:tr>
    </w:tbl>
    <w:p w14:paraId="26BED7A9" w14:textId="2196B5D4" w:rsidR="00A83D68" w:rsidRPr="00555E9F" w:rsidRDefault="00A83D68">
      <w:pPr>
        <w:rPr>
          <w:rFonts w:asciiTheme="minorHAnsi" w:hAnsiTheme="minorHAnsi"/>
        </w:rPr>
      </w:pPr>
    </w:p>
    <w:p w14:paraId="0E13078C" w14:textId="77777777" w:rsidR="00A60A48" w:rsidRPr="00555E9F" w:rsidRDefault="00D250FB" w:rsidP="00A60A48">
      <w:pPr>
        <w:jc w:val="center"/>
        <w:rPr>
          <w:rFonts w:asciiTheme="minorHAnsi" w:hAnsiTheme="minorHAnsi"/>
        </w:rPr>
      </w:pPr>
      <w:r w:rsidRPr="00555E9F">
        <w:rPr>
          <w:rFonts w:asciiTheme="minorHAnsi" w:hAnsiTheme="minorHAnsi"/>
        </w:rPr>
        <w:t>Syllabus</w:t>
      </w:r>
    </w:p>
    <w:p w14:paraId="3DD381F7" w14:textId="2574D4C3" w:rsidR="00A60A48" w:rsidRPr="00555E9F" w:rsidRDefault="00A60A48" w:rsidP="00DC5E79">
      <w:pPr>
        <w:pStyle w:val="Prrafodelista"/>
        <w:numPr>
          <w:ilvl w:val="0"/>
          <w:numId w:val="12"/>
        </w:numPr>
        <w:jc w:val="both"/>
        <w:rPr>
          <w:sz w:val="16"/>
          <w:szCs w:val="16"/>
          <w:lang w:val="es-CL"/>
        </w:rPr>
      </w:pPr>
      <w:r w:rsidRPr="00555E9F">
        <w:rPr>
          <w:sz w:val="16"/>
          <w:szCs w:val="16"/>
          <w:lang w:val="es-CL"/>
        </w:rPr>
        <w:t>Las actividades descritas en el Syllabus pueden cambiar según la vigencia del estado de excepción constitucional.</w:t>
      </w:r>
    </w:p>
    <w:p w14:paraId="1DE4813A" w14:textId="36FCF33C" w:rsidR="00A60A48" w:rsidRPr="00555E9F" w:rsidRDefault="00A60A48" w:rsidP="00DC5E79">
      <w:pPr>
        <w:pStyle w:val="Prrafodelista"/>
        <w:numPr>
          <w:ilvl w:val="0"/>
          <w:numId w:val="12"/>
        </w:numPr>
        <w:jc w:val="both"/>
        <w:rPr>
          <w:sz w:val="16"/>
          <w:szCs w:val="16"/>
          <w:lang w:val="es-CL"/>
        </w:rPr>
      </w:pPr>
      <w:r w:rsidRPr="00555E9F">
        <w:rPr>
          <w:sz w:val="16"/>
          <w:szCs w:val="16"/>
          <w:lang w:val="es-CL"/>
        </w:rPr>
        <w:t>Todas las clases incorporarán un tiempo reservado a la revisión de avances y tareas en los casos reales, según disponibilidad de casos.</w:t>
      </w:r>
    </w:p>
    <w:p w14:paraId="210C17F8" w14:textId="0B8E53F8" w:rsidR="00555E9F" w:rsidRPr="00555E9F" w:rsidRDefault="00555E9F" w:rsidP="00DC5E79">
      <w:pPr>
        <w:pStyle w:val="Prrafodelista"/>
        <w:numPr>
          <w:ilvl w:val="0"/>
          <w:numId w:val="12"/>
        </w:numPr>
        <w:jc w:val="both"/>
        <w:rPr>
          <w:sz w:val="16"/>
          <w:szCs w:val="16"/>
          <w:lang w:val="es-CL"/>
        </w:rPr>
      </w:pPr>
      <w:r w:rsidRPr="00555E9F">
        <w:rPr>
          <w:sz w:val="16"/>
          <w:szCs w:val="16"/>
          <w:lang w:val="es-CL"/>
        </w:rPr>
        <w:t xml:space="preserve">Las lecturas y materiales asignados por cada clase </w:t>
      </w:r>
      <w:r>
        <w:rPr>
          <w:sz w:val="16"/>
          <w:szCs w:val="16"/>
          <w:lang w:val="es-CL"/>
        </w:rPr>
        <w:t>están sujetos a modificaciones según la carga de trabajo derivada de la tramitación de los casos reales.</w:t>
      </w:r>
    </w:p>
    <w:tbl>
      <w:tblPr>
        <w:tblStyle w:val="Tablaconcuadrcula"/>
        <w:tblW w:w="1053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630"/>
        <w:gridCol w:w="1170"/>
        <w:gridCol w:w="3600"/>
        <w:gridCol w:w="1800"/>
        <w:gridCol w:w="3330"/>
      </w:tblGrid>
      <w:tr w:rsidR="00346B77" w:rsidRPr="00555E9F" w14:paraId="2FBA58E1" w14:textId="77777777" w:rsidTr="00346B77">
        <w:tc>
          <w:tcPr>
            <w:tcW w:w="630" w:type="dxa"/>
          </w:tcPr>
          <w:p w14:paraId="1DEE4F82" w14:textId="77777777" w:rsidR="00346B77" w:rsidRPr="00555E9F" w:rsidRDefault="00346B77" w:rsidP="00D67F7B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Clase:</w:t>
            </w:r>
          </w:p>
        </w:tc>
        <w:tc>
          <w:tcPr>
            <w:tcW w:w="1170" w:type="dxa"/>
          </w:tcPr>
          <w:p w14:paraId="5A6CF196" w14:textId="77777777" w:rsidR="00346B77" w:rsidRPr="00555E9F" w:rsidRDefault="00346B77" w:rsidP="00D67F7B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Módulo:</w:t>
            </w:r>
          </w:p>
        </w:tc>
        <w:tc>
          <w:tcPr>
            <w:tcW w:w="3600" w:type="dxa"/>
          </w:tcPr>
          <w:p w14:paraId="207CECA6" w14:textId="77777777" w:rsidR="00346B77" w:rsidRPr="00555E9F" w:rsidRDefault="00346B77" w:rsidP="00D67F7B">
            <w:pPr>
              <w:rPr>
                <w:sz w:val="16"/>
                <w:szCs w:val="16"/>
                <w:lang w:val="es-CL"/>
              </w:rPr>
            </w:pPr>
          </w:p>
        </w:tc>
        <w:tc>
          <w:tcPr>
            <w:tcW w:w="1800" w:type="dxa"/>
          </w:tcPr>
          <w:p w14:paraId="738F5805" w14:textId="77777777" w:rsidR="00346B77" w:rsidRPr="00555E9F" w:rsidRDefault="00346B77" w:rsidP="00D67F7B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Actividades prácticas</w:t>
            </w:r>
          </w:p>
        </w:tc>
        <w:tc>
          <w:tcPr>
            <w:tcW w:w="3330" w:type="dxa"/>
          </w:tcPr>
          <w:p w14:paraId="5D30AF1A" w14:textId="77777777" w:rsidR="00346B77" w:rsidRPr="00555E9F" w:rsidRDefault="00346B77" w:rsidP="00D67F7B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Lecturas y materiales:</w:t>
            </w:r>
          </w:p>
        </w:tc>
      </w:tr>
      <w:tr w:rsidR="00346B77" w:rsidRPr="00555E9F" w14:paraId="79F61A8A" w14:textId="77777777" w:rsidTr="00346B77">
        <w:tc>
          <w:tcPr>
            <w:tcW w:w="630" w:type="dxa"/>
          </w:tcPr>
          <w:p w14:paraId="1AF080D0" w14:textId="77777777" w:rsidR="00346B77" w:rsidRPr="00555E9F" w:rsidRDefault="00346B77" w:rsidP="00D67F7B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1</w:t>
            </w:r>
          </w:p>
        </w:tc>
        <w:tc>
          <w:tcPr>
            <w:tcW w:w="1170" w:type="dxa"/>
          </w:tcPr>
          <w:p w14:paraId="178A7392" w14:textId="77777777" w:rsidR="00346B77" w:rsidRPr="00555E9F" w:rsidRDefault="00346B77" w:rsidP="00D67F7B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Introducción</w:t>
            </w:r>
          </w:p>
        </w:tc>
        <w:tc>
          <w:tcPr>
            <w:tcW w:w="3600" w:type="dxa"/>
          </w:tcPr>
          <w:p w14:paraId="358070DF" w14:textId="77777777" w:rsidR="00346B77" w:rsidRPr="00555E9F" w:rsidRDefault="00346B77" w:rsidP="00346B77">
            <w:pPr>
              <w:pStyle w:val="Prrafodelista"/>
              <w:numPr>
                <w:ilvl w:val="0"/>
                <w:numId w:val="9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Introducción al curso: Estrategia, táctica y operatividad.</w:t>
            </w:r>
          </w:p>
          <w:p w14:paraId="1B76E3C5" w14:textId="70FEAB34" w:rsidR="00346B77" w:rsidRPr="00555E9F" w:rsidRDefault="00346B77" w:rsidP="00346B77">
            <w:pPr>
              <w:pStyle w:val="Prrafodelista"/>
              <w:numPr>
                <w:ilvl w:val="0"/>
                <w:numId w:val="9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 xml:space="preserve">Reglas generales del curso (asistencia, </w:t>
            </w:r>
            <w:r w:rsidR="001436E4" w:rsidRPr="00555E9F">
              <w:rPr>
                <w:sz w:val="16"/>
                <w:szCs w:val="16"/>
                <w:lang w:val="es-CL"/>
              </w:rPr>
              <w:t>actividades sujetas a evaluación</w:t>
            </w:r>
            <w:r w:rsidR="00A21208" w:rsidRPr="00555E9F">
              <w:rPr>
                <w:sz w:val="16"/>
                <w:szCs w:val="16"/>
                <w:lang w:val="es-CL"/>
              </w:rPr>
              <w:t>,</w:t>
            </w:r>
            <w:r w:rsidR="001436E4" w:rsidRPr="00555E9F">
              <w:rPr>
                <w:sz w:val="16"/>
                <w:szCs w:val="16"/>
                <w:lang w:val="es-CL"/>
              </w:rPr>
              <w:t xml:space="preserve"> fecha de evaluaciones,</w:t>
            </w:r>
            <w:r w:rsidR="00A21208" w:rsidRPr="00555E9F">
              <w:rPr>
                <w:sz w:val="16"/>
                <w:szCs w:val="16"/>
                <w:lang w:val="es-CL"/>
              </w:rPr>
              <w:t xml:space="preserve"> criterios de evaluación, causales de reprobación inmediata</w:t>
            </w:r>
            <w:r w:rsidRPr="00555E9F">
              <w:rPr>
                <w:sz w:val="16"/>
                <w:szCs w:val="16"/>
                <w:lang w:val="es-CL"/>
              </w:rPr>
              <w:t xml:space="preserve">, </w:t>
            </w:r>
            <w:r w:rsidR="00A21208" w:rsidRPr="00555E9F">
              <w:rPr>
                <w:sz w:val="16"/>
                <w:szCs w:val="16"/>
                <w:lang w:val="es-CL"/>
              </w:rPr>
              <w:t xml:space="preserve">manejo de </w:t>
            </w:r>
            <w:r w:rsidRPr="00555E9F">
              <w:rPr>
                <w:sz w:val="16"/>
                <w:szCs w:val="16"/>
                <w:lang w:val="es-CL"/>
              </w:rPr>
              <w:t>relación con clientes, contacto con profesor y ayudantes).</w:t>
            </w:r>
          </w:p>
        </w:tc>
        <w:tc>
          <w:tcPr>
            <w:tcW w:w="1800" w:type="dxa"/>
          </w:tcPr>
          <w:p w14:paraId="3B0CBE5B" w14:textId="77777777" w:rsidR="00346B77" w:rsidRPr="00555E9F" w:rsidRDefault="00346B77" w:rsidP="00D67F7B">
            <w:pPr>
              <w:pStyle w:val="Prrafodelista"/>
              <w:ind w:left="360"/>
              <w:rPr>
                <w:sz w:val="16"/>
                <w:szCs w:val="16"/>
                <w:lang w:val="es-CL"/>
              </w:rPr>
            </w:pPr>
          </w:p>
        </w:tc>
        <w:tc>
          <w:tcPr>
            <w:tcW w:w="3330" w:type="dxa"/>
          </w:tcPr>
          <w:p w14:paraId="72EF6EF7" w14:textId="77777777" w:rsidR="00346B77" w:rsidRPr="00555E9F" w:rsidRDefault="00346B77" w:rsidP="00247A82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Christian Courtis, “La educación clínica como práctica transformadora”.</w:t>
            </w:r>
          </w:p>
          <w:p w14:paraId="651639EE" w14:textId="77777777" w:rsidR="00247A82" w:rsidRPr="00247A82" w:rsidRDefault="00247A82" w:rsidP="00247A82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247A82">
              <w:rPr>
                <w:sz w:val="16"/>
                <w:szCs w:val="16"/>
              </w:rPr>
              <w:t>Cass R. Sunstein &amp; Thomas J. Miles, "The New Legal Realism" (John M. Olin Program in Law and Economics Working Paper No. 372, 2007). (extractos traducidos).</w:t>
            </w:r>
          </w:p>
          <w:p w14:paraId="74BB363A" w14:textId="77777777" w:rsidR="00346B77" w:rsidRDefault="00346B77" w:rsidP="00247A82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Syllabus.</w:t>
            </w:r>
          </w:p>
          <w:p w14:paraId="02B54A30" w14:textId="1098EA5F" w:rsidR="00555E9F" w:rsidRDefault="00555E9F" w:rsidP="00247A82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Pauta de criterios de evaluación y causales de reprobación.</w:t>
            </w:r>
          </w:p>
          <w:p w14:paraId="6680E5A0" w14:textId="1D4888D0" w:rsidR="00247A82" w:rsidRPr="00555E9F" w:rsidRDefault="00247A82" w:rsidP="00247A82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</w:p>
        </w:tc>
      </w:tr>
      <w:tr w:rsidR="00346B77" w:rsidRPr="00555E9F" w14:paraId="39314A0B" w14:textId="77777777" w:rsidTr="00346B77">
        <w:tc>
          <w:tcPr>
            <w:tcW w:w="630" w:type="dxa"/>
          </w:tcPr>
          <w:p w14:paraId="71652427" w14:textId="77777777" w:rsidR="00346B77" w:rsidRPr="00555E9F" w:rsidRDefault="00346B77" w:rsidP="00D67F7B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2</w:t>
            </w:r>
          </w:p>
        </w:tc>
        <w:tc>
          <w:tcPr>
            <w:tcW w:w="1170" w:type="dxa"/>
          </w:tcPr>
          <w:p w14:paraId="5028EE78" w14:textId="77777777" w:rsidR="00346B77" w:rsidRPr="00555E9F" w:rsidRDefault="00346B77" w:rsidP="00D67F7B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Módulo 1: Estrategia</w:t>
            </w:r>
          </w:p>
        </w:tc>
        <w:tc>
          <w:tcPr>
            <w:tcW w:w="3600" w:type="dxa"/>
          </w:tcPr>
          <w:p w14:paraId="4D5146A3" w14:textId="77777777" w:rsidR="00346B77" w:rsidRPr="00555E9F" w:rsidRDefault="00346B77" w:rsidP="00346B77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 xml:space="preserve">¿Qué es una estrategia legal?: qué quiere mi cliente y cómo lograr ese objetivo. </w:t>
            </w:r>
          </w:p>
          <w:p w14:paraId="420FBB46" w14:textId="77777777" w:rsidR="00346B77" w:rsidRPr="00555E9F" w:rsidRDefault="00346B77" w:rsidP="00346B77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 xml:space="preserve">Qué factores inciden en la elaboración de la estrategia legal: identidad del cliente, </w:t>
            </w:r>
            <w:r w:rsidRPr="00555E9F">
              <w:rPr>
                <w:sz w:val="16"/>
                <w:szCs w:val="16"/>
                <w:lang w:val="es-CL"/>
              </w:rPr>
              <w:lastRenderedPageBreak/>
              <w:t xml:space="preserve">objetivos, sede, modelo procedimental, derecho sustantivo. </w:t>
            </w:r>
          </w:p>
          <w:p w14:paraId="70904105" w14:textId="77777777" w:rsidR="00346B77" w:rsidRPr="00555E9F" w:rsidRDefault="00346B77" w:rsidP="00346B77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¿Quién es mi cliente? El impacto de categorías como clase, sexo, raza, identidad de género, en el acceso a la justicia.</w:t>
            </w:r>
          </w:p>
        </w:tc>
        <w:tc>
          <w:tcPr>
            <w:tcW w:w="1800" w:type="dxa"/>
          </w:tcPr>
          <w:p w14:paraId="691B5FCA" w14:textId="77777777" w:rsidR="00346B77" w:rsidRPr="00555E9F" w:rsidRDefault="00346B77" w:rsidP="00555E9F">
            <w:pPr>
              <w:pStyle w:val="Prrafodelista"/>
              <w:ind w:left="360"/>
              <w:rPr>
                <w:sz w:val="16"/>
                <w:szCs w:val="16"/>
                <w:lang w:val="es-CL"/>
              </w:rPr>
            </w:pPr>
          </w:p>
        </w:tc>
        <w:tc>
          <w:tcPr>
            <w:tcW w:w="3330" w:type="dxa"/>
          </w:tcPr>
          <w:p w14:paraId="5A36B5B4" w14:textId="77777777" w:rsidR="00346B77" w:rsidRPr="00781526" w:rsidRDefault="00346B77" w:rsidP="00346B77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781526">
              <w:rPr>
                <w:sz w:val="16"/>
                <w:szCs w:val="16"/>
              </w:rPr>
              <w:t>Lynn M. LoPucki &amp; Walter O. Weyrauch, “A Theory of Legal Strategy”, Duke Law Journal, Vol. 49, No. 6, April 2000 (extractos traducidos).</w:t>
            </w:r>
          </w:p>
          <w:p w14:paraId="25888C34" w14:textId="77777777" w:rsidR="00346B77" w:rsidRPr="00555E9F" w:rsidRDefault="00346B77" w:rsidP="00346B77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lastRenderedPageBreak/>
              <w:t>Extracto de la sentencia de fondo “Atala Riffo y Niñas Vs. Chile” ante la Corte IDH.</w:t>
            </w:r>
          </w:p>
          <w:p w14:paraId="02776383" w14:textId="77777777" w:rsidR="00346B77" w:rsidRPr="00555E9F" w:rsidRDefault="00346B77" w:rsidP="00346B77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781526">
              <w:rPr>
                <w:sz w:val="16"/>
                <w:szCs w:val="16"/>
              </w:rPr>
              <w:t xml:space="preserve">Peggy C. Davis. Law as Microagression. </w:t>
            </w:r>
            <w:r w:rsidRPr="00555E9F">
              <w:rPr>
                <w:sz w:val="16"/>
                <w:szCs w:val="16"/>
                <w:lang w:val="es-CL"/>
              </w:rPr>
              <w:t>Yale Law Journal, vol. 98. (extractos traducidos).</w:t>
            </w:r>
          </w:p>
        </w:tc>
      </w:tr>
      <w:tr w:rsidR="00346B77" w:rsidRPr="00555E9F" w14:paraId="31B032A4" w14:textId="77777777" w:rsidTr="00346B77">
        <w:tc>
          <w:tcPr>
            <w:tcW w:w="630" w:type="dxa"/>
          </w:tcPr>
          <w:p w14:paraId="32F25D58" w14:textId="77777777" w:rsidR="00346B77" w:rsidRPr="00555E9F" w:rsidRDefault="00346B77" w:rsidP="00D67F7B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lastRenderedPageBreak/>
              <w:t>3</w:t>
            </w:r>
          </w:p>
        </w:tc>
        <w:tc>
          <w:tcPr>
            <w:tcW w:w="1170" w:type="dxa"/>
          </w:tcPr>
          <w:p w14:paraId="16F3BF2E" w14:textId="77777777" w:rsidR="00346B77" w:rsidRPr="00555E9F" w:rsidRDefault="00346B77" w:rsidP="00D67F7B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Módulo 1: Estrategia</w:t>
            </w:r>
          </w:p>
        </w:tc>
        <w:tc>
          <w:tcPr>
            <w:tcW w:w="3600" w:type="dxa"/>
          </w:tcPr>
          <w:p w14:paraId="1FFA02C2" w14:textId="77777777" w:rsidR="00346B77" w:rsidRPr="00555E9F" w:rsidRDefault="00346B77" w:rsidP="00346B77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 xml:space="preserve">¿Ante quién ocurrir? La </w:t>
            </w:r>
            <w:r w:rsidRPr="00555E9F">
              <w:rPr>
                <w:i/>
                <w:sz w:val="16"/>
                <w:szCs w:val="16"/>
                <w:lang w:val="es-CL"/>
              </w:rPr>
              <w:t>naturaleza</w:t>
            </w:r>
            <w:r w:rsidRPr="00555E9F">
              <w:rPr>
                <w:sz w:val="16"/>
                <w:szCs w:val="16"/>
                <w:lang w:val="es-CL"/>
              </w:rPr>
              <w:t xml:space="preserve"> del caso como decisión estratégica.</w:t>
            </w:r>
          </w:p>
          <w:p w14:paraId="5548850C" w14:textId="77777777" w:rsidR="00346B77" w:rsidRPr="00555E9F" w:rsidRDefault="00346B77" w:rsidP="00346B77">
            <w:pPr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El sistema procesal: reformas a la justicia y su impacto en el diseño de una estrategia.</w:t>
            </w:r>
          </w:p>
          <w:p w14:paraId="72998276" w14:textId="77777777" w:rsidR="00D10223" w:rsidRPr="00555E9F" w:rsidRDefault="00346B77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El impacto del derecho sustantivo en el diseño de la estrategia.</w:t>
            </w:r>
          </w:p>
          <w:p w14:paraId="5A24FC84" w14:textId="42303961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Asignación de casos simulados y discusión.</w:t>
            </w:r>
          </w:p>
        </w:tc>
        <w:tc>
          <w:tcPr>
            <w:tcW w:w="1800" w:type="dxa"/>
          </w:tcPr>
          <w:p w14:paraId="25852F21" w14:textId="7435C008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Conformación de equipos para simulación de casos.</w:t>
            </w:r>
          </w:p>
          <w:p w14:paraId="1053E73D" w14:textId="77777777" w:rsidR="00781526" w:rsidRDefault="00D10223" w:rsidP="00781526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Asignación casos para simulación.</w:t>
            </w:r>
          </w:p>
          <w:p w14:paraId="6AEFA927" w14:textId="66E23D3B" w:rsidR="00346B77" w:rsidRPr="00781526" w:rsidRDefault="00D10223" w:rsidP="00781526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781526">
              <w:rPr>
                <w:sz w:val="16"/>
                <w:szCs w:val="16"/>
                <w:lang w:val="es-CL"/>
              </w:rPr>
              <w:t>Entrega y revisión de antecedentes básicos a equipos.</w:t>
            </w:r>
          </w:p>
        </w:tc>
        <w:tc>
          <w:tcPr>
            <w:tcW w:w="3330" w:type="dxa"/>
          </w:tcPr>
          <w:p w14:paraId="073925FF" w14:textId="77777777" w:rsidR="00346B77" w:rsidRPr="00555E9F" w:rsidRDefault="00346B77" w:rsidP="00346B77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 xml:space="preserve">Extracto de acción de protección alzas arbitrarias planes de salud. </w:t>
            </w:r>
          </w:p>
          <w:p w14:paraId="36735F9C" w14:textId="77777777" w:rsidR="00346B77" w:rsidRPr="00555E9F" w:rsidRDefault="00346B77" w:rsidP="00346B77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Extracto Rol 39.654-2020 (Corte Suprema, Tercera Sala)</w:t>
            </w:r>
          </w:p>
          <w:p w14:paraId="0327B174" w14:textId="77777777" w:rsidR="00346B77" w:rsidRPr="00555E9F" w:rsidRDefault="00346B77" w:rsidP="00346B77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 xml:space="preserve">Mirjan Damaska, Las Caras de la Justicia y el Poder del Estado (extracto). </w:t>
            </w:r>
          </w:p>
          <w:p w14:paraId="4330C189" w14:textId="77777777" w:rsidR="00346B77" w:rsidRPr="00555E9F" w:rsidRDefault="00346B77" w:rsidP="00346B77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Extracto caso “</w:t>
            </w:r>
            <w:r w:rsidRPr="00555E9F">
              <w:rPr>
                <w:i/>
                <w:sz w:val="16"/>
                <w:szCs w:val="16"/>
                <w:lang w:val="es-CL"/>
              </w:rPr>
              <w:t>Almonacid Arellano”</w:t>
            </w:r>
          </w:p>
          <w:p w14:paraId="407D83C7" w14:textId="77777777" w:rsidR="00346B77" w:rsidRPr="00555E9F" w:rsidRDefault="00346B77" w:rsidP="00346B77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 xml:space="preserve">Extracto querella Rol 2182-98. </w:t>
            </w:r>
          </w:p>
          <w:p w14:paraId="2A354F6C" w14:textId="77777777" w:rsidR="00346B77" w:rsidRPr="00555E9F" w:rsidRDefault="00346B77" w:rsidP="00346B77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Decreto Ley Nº2191.</w:t>
            </w:r>
          </w:p>
          <w:p w14:paraId="5A34ABD0" w14:textId="77777777" w:rsidR="00346B77" w:rsidRPr="00555E9F" w:rsidRDefault="00346B77" w:rsidP="00346B77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Extracto Sentencia Corte Suprema Rol N° 517-2004 (Segunda Sala).</w:t>
            </w:r>
          </w:p>
        </w:tc>
      </w:tr>
      <w:tr w:rsidR="00346B77" w:rsidRPr="00555E9F" w14:paraId="5409ED99" w14:textId="77777777" w:rsidTr="00346B77">
        <w:tc>
          <w:tcPr>
            <w:tcW w:w="630" w:type="dxa"/>
          </w:tcPr>
          <w:p w14:paraId="289ADCB3" w14:textId="77777777" w:rsidR="00346B77" w:rsidRPr="00555E9F" w:rsidRDefault="00346B77" w:rsidP="00D67F7B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4</w:t>
            </w:r>
          </w:p>
        </w:tc>
        <w:tc>
          <w:tcPr>
            <w:tcW w:w="1170" w:type="dxa"/>
          </w:tcPr>
          <w:p w14:paraId="581178CC" w14:textId="77777777" w:rsidR="00346B77" w:rsidRPr="00555E9F" w:rsidRDefault="00346B77" w:rsidP="00D67F7B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Módulo 1:</w:t>
            </w:r>
          </w:p>
          <w:p w14:paraId="315405AC" w14:textId="77777777" w:rsidR="00346B77" w:rsidRPr="00555E9F" w:rsidRDefault="00346B77" w:rsidP="00D67F7B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Estrategia</w:t>
            </w:r>
          </w:p>
        </w:tc>
        <w:tc>
          <w:tcPr>
            <w:tcW w:w="3600" w:type="dxa"/>
          </w:tcPr>
          <w:p w14:paraId="7F6A6FF9" w14:textId="77777777" w:rsidR="00346B77" w:rsidRPr="00555E9F" w:rsidRDefault="00346B77" w:rsidP="00346B77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La entrevista del cliente</w:t>
            </w:r>
          </w:p>
          <w:p w14:paraId="31569127" w14:textId="74488A11" w:rsidR="00346B77" w:rsidRPr="00555E9F" w:rsidRDefault="00D10223" w:rsidP="00346B77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 xml:space="preserve">Técnica de </w:t>
            </w:r>
            <w:r w:rsidR="00346B77" w:rsidRPr="00555E9F">
              <w:rPr>
                <w:sz w:val="16"/>
                <w:szCs w:val="16"/>
                <w:lang w:val="es-CL"/>
              </w:rPr>
              <w:t>desarrollo de una entrevista</w:t>
            </w:r>
          </w:p>
          <w:p w14:paraId="610B5C02" w14:textId="77777777" w:rsidR="00346B77" w:rsidRPr="00555E9F" w:rsidRDefault="00346B77" w:rsidP="00346B77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Preparación y definición de objetivos</w:t>
            </w:r>
          </w:p>
          <w:p w14:paraId="2E1D4506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i/>
                <w:iCs/>
                <w:sz w:val="16"/>
                <w:szCs w:val="16"/>
                <w:lang w:val="es-CL"/>
              </w:rPr>
              <w:t>Role playing</w:t>
            </w:r>
            <w:r w:rsidRPr="00555E9F">
              <w:rPr>
                <w:sz w:val="16"/>
                <w:szCs w:val="16"/>
                <w:lang w:val="es-CL"/>
              </w:rPr>
              <w:t>: Ejercicio de simulación entre estudiantes. Asignar supuestos básicos a “entrevistados”.</w:t>
            </w:r>
          </w:p>
          <w:p w14:paraId="33EDC123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 xml:space="preserve">Preparación de entrevista cliente y testigos caso simulado. </w:t>
            </w:r>
          </w:p>
          <w:p w14:paraId="0BD5A693" w14:textId="77777777" w:rsidR="00346B77" w:rsidRPr="00555E9F" w:rsidRDefault="00346B77" w:rsidP="00D67F7B">
            <w:pPr>
              <w:pStyle w:val="Prrafodelista"/>
              <w:rPr>
                <w:sz w:val="16"/>
                <w:szCs w:val="16"/>
                <w:lang w:val="es-CL"/>
              </w:rPr>
            </w:pPr>
          </w:p>
        </w:tc>
        <w:tc>
          <w:tcPr>
            <w:tcW w:w="1800" w:type="dxa"/>
          </w:tcPr>
          <w:p w14:paraId="69808D88" w14:textId="1484CF4D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Simulación de entrevistas clientes.</w:t>
            </w:r>
          </w:p>
          <w:p w14:paraId="1E6413D2" w14:textId="77777777" w:rsidR="00346B77" w:rsidRPr="00555E9F" w:rsidRDefault="00346B77" w:rsidP="00D67F7B">
            <w:pPr>
              <w:pStyle w:val="Prrafodelista"/>
              <w:ind w:left="360"/>
              <w:rPr>
                <w:sz w:val="16"/>
                <w:szCs w:val="16"/>
                <w:lang w:val="es-CL"/>
              </w:rPr>
            </w:pPr>
          </w:p>
        </w:tc>
        <w:tc>
          <w:tcPr>
            <w:tcW w:w="3330" w:type="dxa"/>
          </w:tcPr>
          <w:p w14:paraId="00591E88" w14:textId="77777777" w:rsidR="00346B77" w:rsidRPr="00555E9F" w:rsidRDefault="00346B77" w:rsidP="00346B77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781526">
              <w:rPr>
                <w:sz w:val="16"/>
                <w:szCs w:val="16"/>
              </w:rPr>
              <w:t xml:space="preserve">Binder, Bergman, &amp; Price, Lawyers as Counselors: A Client Centered Approach. </w:t>
            </w:r>
            <w:r w:rsidRPr="00555E9F">
              <w:rPr>
                <w:sz w:val="16"/>
                <w:szCs w:val="16"/>
                <w:lang w:val="es-CL"/>
              </w:rPr>
              <w:t>(extractos traducidos).</w:t>
            </w:r>
          </w:p>
          <w:p w14:paraId="75F50691" w14:textId="77777777" w:rsidR="00346B77" w:rsidRPr="00555E9F" w:rsidRDefault="00346B77" w:rsidP="00346B77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Caso “</w:t>
            </w:r>
            <w:r w:rsidRPr="00555E9F">
              <w:rPr>
                <w:i/>
                <w:sz w:val="16"/>
                <w:szCs w:val="16"/>
                <w:lang w:val="es-CL"/>
              </w:rPr>
              <w:t>Upjohn Co. v. United States</w:t>
            </w:r>
            <w:r w:rsidRPr="00555E9F">
              <w:rPr>
                <w:sz w:val="16"/>
                <w:szCs w:val="16"/>
                <w:lang w:val="es-CL"/>
              </w:rPr>
              <w:t>, 449 U.S. 383 (1981)” (extractos traducidos)</w:t>
            </w:r>
          </w:p>
        </w:tc>
      </w:tr>
      <w:tr w:rsidR="00D10223" w:rsidRPr="00555E9F" w14:paraId="2567D7F4" w14:textId="77777777" w:rsidTr="00346B77">
        <w:tc>
          <w:tcPr>
            <w:tcW w:w="630" w:type="dxa"/>
          </w:tcPr>
          <w:p w14:paraId="6C2C13AD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5</w:t>
            </w:r>
          </w:p>
        </w:tc>
        <w:tc>
          <w:tcPr>
            <w:tcW w:w="1170" w:type="dxa"/>
          </w:tcPr>
          <w:p w14:paraId="71FBD5C5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Módulo 1: Estrategia</w:t>
            </w:r>
          </w:p>
        </w:tc>
        <w:tc>
          <w:tcPr>
            <w:tcW w:w="3600" w:type="dxa"/>
          </w:tcPr>
          <w:p w14:paraId="6544E591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Ética profesional: deberes con respecto al cliente</w:t>
            </w:r>
          </w:p>
          <w:p w14:paraId="1F27E762" w14:textId="77777777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Conflictos de interés</w:t>
            </w:r>
          </w:p>
          <w:p w14:paraId="58E4702B" w14:textId="77777777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Defensas incompatibles</w:t>
            </w:r>
          </w:p>
        </w:tc>
        <w:tc>
          <w:tcPr>
            <w:tcW w:w="1800" w:type="dxa"/>
          </w:tcPr>
          <w:p w14:paraId="271391F1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Simulación de entrevistas clientes.</w:t>
            </w:r>
          </w:p>
          <w:p w14:paraId="4EB00C18" w14:textId="2BF942CF" w:rsidR="00D10223" w:rsidRPr="00555E9F" w:rsidRDefault="00D10223" w:rsidP="00D10223">
            <w:pPr>
              <w:pStyle w:val="Prrafodelista"/>
              <w:ind w:left="360"/>
              <w:rPr>
                <w:sz w:val="16"/>
                <w:szCs w:val="16"/>
                <w:lang w:val="es-CL"/>
              </w:rPr>
            </w:pPr>
          </w:p>
        </w:tc>
        <w:tc>
          <w:tcPr>
            <w:tcW w:w="3330" w:type="dxa"/>
          </w:tcPr>
          <w:p w14:paraId="52CCD2D4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781526">
              <w:rPr>
                <w:sz w:val="16"/>
                <w:szCs w:val="16"/>
              </w:rPr>
              <w:t xml:space="preserve">Binder, Bergman, &amp; Price, Lawyers as Counselors: A Client Centered Approach. </w:t>
            </w:r>
            <w:r w:rsidRPr="00555E9F">
              <w:rPr>
                <w:sz w:val="16"/>
                <w:szCs w:val="16"/>
                <w:lang w:val="es-CL"/>
              </w:rPr>
              <w:t>(extractos traducidos)</w:t>
            </w:r>
          </w:p>
          <w:p w14:paraId="16C0EE41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Código de Ética Colegio de Abogados de Chile.</w:t>
            </w:r>
          </w:p>
          <w:p w14:paraId="0280E1EC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Extractos de casos</w:t>
            </w:r>
          </w:p>
        </w:tc>
      </w:tr>
      <w:tr w:rsidR="00D10223" w:rsidRPr="00555E9F" w14:paraId="600360DB" w14:textId="77777777" w:rsidTr="00346B77">
        <w:tc>
          <w:tcPr>
            <w:tcW w:w="630" w:type="dxa"/>
          </w:tcPr>
          <w:p w14:paraId="5BC69A71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6</w:t>
            </w:r>
          </w:p>
        </w:tc>
        <w:tc>
          <w:tcPr>
            <w:tcW w:w="1170" w:type="dxa"/>
          </w:tcPr>
          <w:p w14:paraId="6D1FBF15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Módulo 1: Estrategia</w:t>
            </w:r>
          </w:p>
        </w:tc>
        <w:tc>
          <w:tcPr>
            <w:tcW w:w="3600" w:type="dxa"/>
          </w:tcPr>
          <w:p w14:paraId="34714D3A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Ética profesional: sanciones a Abogadas/os colegiados y no colegiados</w:t>
            </w:r>
          </w:p>
          <w:p w14:paraId="79AC6F3A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Ética profesional: otros modelos comparados de control ético.</w:t>
            </w:r>
          </w:p>
        </w:tc>
        <w:tc>
          <w:tcPr>
            <w:tcW w:w="1800" w:type="dxa"/>
          </w:tcPr>
          <w:p w14:paraId="39A82F27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Discusión de casos ética profesional</w:t>
            </w:r>
          </w:p>
          <w:p w14:paraId="4FBA1288" w14:textId="47C05C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Simulación de entrevistas testigos y clientes</w:t>
            </w:r>
          </w:p>
          <w:p w14:paraId="6733F702" w14:textId="3065D67B" w:rsidR="00D10223" w:rsidRPr="00555E9F" w:rsidRDefault="00D10223" w:rsidP="00D10223">
            <w:pPr>
              <w:pStyle w:val="Prrafodelista"/>
              <w:ind w:left="360"/>
              <w:rPr>
                <w:sz w:val="16"/>
                <w:szCs w:val="16"/>
                <w:lang w:val="es-CL"/>
              </w:rPr>
            </w:pPr>
          </w:p>
        </w:tc>
        <w:tc>
          <w:tcPr>
            <w:tcW w:w="3330" w:type="dxa"/>
          </w:tcPr>
          <w:p w14:paraId="2C3E1DEB" w14:textId="77777777" w:rsidR="00555E9F" w:rsidRPr="00555E9F" w:rsidRDefault="00555E9F" w:rsidP="00555E9F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Á. Anríquez, P. Fuenzalida y L. Sierra, Ética de la abogacía en Chile: el problema de la regulación. Centro de Estudios Públicos, Debates de Política Pública, Número 34, octubre 2019.</w:t>
            </w:r>
          </w:p>
          <w:p w14:paraId="4F97FA24" w14:textId="68D59A94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 xml:space="preserve">Extractos de casos. </w:t>
            </w:r>
          </w:p>
          <w:p w14:paraId="14641EEF" w14:textId="77777777" w:rsidR="00D10223" w:rsidRPr="00555E9F" w:rsidRDefault="00D10223" w:rsidP="00D10223">
            <w:pPr>
              <w:pStyle w:val="Prrafodelista"/>
              <w:ind w:left="360"/>
              <w:rPr>
                <w:sz w:val="16"/>
                <w:szCs w:val="16"/>
                <w:lang w:val="es-CL"/>
              </w:rPr>
            </w:pPr>
          </w:p>
        </w:tc>
      </w:tr>
      <w:tr w:rsidR="00D10223" w:rsidRPr="00555E9F" w14:paraId="09811BC3" w14:textId="77777777" w:rsidTr="00346B77">
        <w:tc>
          <w:tcPr>
            <w:tcW w:w="630" w:type="dxa"/>
          </w:tcPr>
          <w:p w14:paraId="691DBF43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7</w:t>
            </w:r>
          </w:p>
        </w:tc>
        <w:tc>
          <w:tcPr>
            <w:tcW w:w="1170" w:type="dxa"/>
          </w:tcPr>
          <w:p w14:paraId="353F5F62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Módulo 1: Táctica</w:t>
            </w:r>
          </w:p>
        </w:tc>
        <w:tc>
          <w:tcPr>
            <w:tcW w:w="3600" w:type="dxa"/>
          </w:tcPr>
          <w:p w14:paraId="5B3AF79C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La teoría del caso como método de análisis y planificación.</w:t>
            </w:r>
          </w:p>
          <w:p w14:paraId="534D3316" w14:textId="77777777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Elaboración de un relato, teoría jurídica e identificación de premisas normativas.</w:t>
            </w:r>
          </w:p>
          <w:p w14:paraId="53ADC7A8" w14:textId="77777777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 xml:space="preserve">Cómo elaborar una minuta de estrategia que permita articular la teoría del caso. </w:t>
            </w:r>
          </w:p>
          <w:p w14:paraId="4CD14AC0" w14:textId="77777777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Revisión de ejemplos de litigios articulados con una teoría del caso clara y plausible.</w:t>
            </w:r>
          </w:p>
          <w:p w14:paraId="003A00AE" w14:textId="142D95F9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Simulación: Demandantes y demandados: discuten objetivos y formulan requerimiento de información a clientes.</w:t>
            </w:r>
          </w:p>
        </w:tc>
        <w:tc>
          <w:tcPr>
            <w:tcW w:w="1800" w:type="dxa"/>
          </w:tcPr>
          <w:p w14:paraId="6E07294D" w14:textId="56775344" w:rsidR="00D10223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Discusión de objetivos del cliente en caso simulado, vías de acción, fortalezas y debilidades.</w:t>
            </w:r>
          </w:p>
          <w:p w14:paraId="3AC22F38" w14:textId="0D386E10" w:rsidR="00781526" w:rsidRPr="00555E9F" w:rsidRDefault="00781526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Formulación de un requerimiento de información al cliente simulado.</w:t>
            </w:r>
          </w:p>
          <w:p w14:paraId="4C38C0FE" w14:textId="77777777" w:rsidR="00D10223" w:rsidRPr="00555E9F" w:rsidRDefault="00D10223" w:rsidP="00D10223">
            <w:pPr>
              <w:pStyle w:val="Prrafodelista"/>
              <w:ind w:left="360"/>
              <w:rPr>
                <w:sz w:val="16"/>
                <w:szCs w:val="16"/>
                <w:lang w:val="es-CL"/>
              </w:rPr>
            </w:pPr>
          </w:p>
        </w:tc>
        <w:tc>
          <w:tcPr>
            <w:tcW w:w="3330" w:type="dxa"/>
          </w:tcPr>
          <w:p w14:paraId="351820FA" w14:textId="77777777" w:rsidR="00D10223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 xml:space="preserve">Mauricio Duce y Andrés Baytelman. Litigación Penal Juicio Oral y prueba. Capítulo II.  </w:t>
            </w:r>
          </w:p>
          <w:p w14:paraId="2DEE25E9" w14:textId="77777777" w:rsidR="00247A82" w:rsidRPr="00247A82" w:rsidRDefault="00247A82" w:rsidP="00247A82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247A82">
              <w:rPr>
                <w:sz w:val="16"/>
                <w:szCs w:val="16"/>
                <w:lang w:val="es-CL"/>
              </w:rPr>
              <w:t>Rodrigo Alcaíno y Matías Cortés, Cuso elemental de litigación oral, Editorial Jurídica de Chile, reimpresión 2020 (extractos).</w:t>
            </w:r>
          </w:p>
          <w:p w14:paraId="3850A971" w14:textId="7E1CE207" w:rsidR="00247A82" w:rsidRPr="00555E9F" w:rsidRDefault="00247A82" w:rsidP="00247A82">
            <w:pPr>
              <w:pStyle w:val="Prrafodelista"/>
              <w:ind w:left="360"/>
              <w:rPr>
                <w:sz w:val="16"/>
                <w:szCs w:val="16"/>
                <w:lang w:val="es-CL"/>
              </w:rPr>
            </w:pPr>
          </w:p>
        </w:tc>
      </w:tr>
      <w:tr w:rsidR="00D10223" w:rsidRPr="00555E9F" w14:paraId="0B9F9493" w14:textId="77777777" w:rsidTr="00346B77">
        <w:trPr>
          <w:trHeight w:val="2042"/>
        </w:trPr>
        <w:tc>
          <w:tcPr>
            <w:tcW w:w="630" w:type="dxa"/>
          </w:tcPr>
          <w:p w14:paraId="480E0C49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8</w:t>
            </w:r>
          </w:p>
        </w:tc>
        <w:tc>
          <w:tcPr>
            <w:tcW w:w="1170" w:type="dxa"/>
          </w:tcPr>
          <w:p w14:paraId="5DFA308C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Módulo 2: Táctica</w:t>
            </w:r>
          </w:p>
        </w:tc>
        <w:tc>
          <w:tcPr>
            <w:tcW w:w="3600" w:type="dxa"/>
          </w:tcPr>
          <w:p w14:paraId="4D9AD83D" w14:textId="1C456658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 xml:space="preserve">Elaboración de una minuta de estrategia por cada equipo para casos simulados. </w:t>
            </w:r>
          </w:p>
        </w:tc>
        <w:tc>
          <w:tcPr>
            <w:tcW w:w="1800" w:type="dxa"/>
          </w:tcPr>
          <w:p w14:paraId="1DEF0DFE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Análisis de antecedentes.</w:t>
            </w:r>
          </w:p>
          <w:p w14:paraId="76F89373" w14:textId="06E683CA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Preparación de minuta de teoría del caso.</w:t>
            </w:r>
          </w:p>
        </w:tc>
        <w:tc>
          <w:tcPr>
            <w:tcW w:w="3330" w:type="dxa"/>
          </w:tcPr>
          <w:p w14:paraId="393D9C3D" w14:textId="77777777" w:rsidR="00D10223" w:rsidRPr="00555E9F" w:rsidRDefault="00D10223" w:rsidP="00D10223">
            <w:pPr>
              <w:pStyle w:val="Prrafodelista"/>
              <w:ind w:left="360"/>
              <w:rPr>
                <w:sz w:val="16"/>
                <w:szCs w:val="16"/>
                <w:lang w:val="es-CL"/>
              </w:rPr>
            </w:pPr>
          </w:p>
        </w:tc>
      </w:tr>
      <w:tr w:rsidR="00D10223" w:rsidRPr="00555E9F" w14:paraId="079A1D51" w14:textId="77777777" w:rsidTr="00346B77">
        <w:tc>
          <w:tcPr>
            <w:tcW w:w="630" w:type="dxa"/>
          </w:tcPr>
          <w:p w14:paraId="041378AA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9</w:t>
            </w:r>
          </w:p>
        </w:tc>
        <w:tc>
          <w:tcPr>
            <w:tcW w:w="1170" w:type="dxa"/>
          </w:tcPr>
          <w:p w14:paraId="7A08BA24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 xml:space="preserve">Módulo 3: </w:t>
            </w:r>
          </w:p>
          <w:p w14:paraId="3BD9F39C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Operatividad</w:t>
            </w:r>
          </w:p>
        </w:tc>
        <w:tc>
          <w:tcPr>
            <w:tcW w:w="3600" w:type="dxa"/>
          </w:tcPr>
          <w:p w14:paraId="33637D51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Redacción legal:</w:t>
            </w:r>
          </w:p>
          <w:p w14:paraId="56D6D37F" w14:textId="3845FD7D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Objetivos centrales en la redacción legal.</w:t>
            </w:r>
          </w:p>
          <w:p w14:paraId="35E8C9DA" w14:textId="2D740454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Revisión escritos tipo (formalidades, objetivos)</w:t>
            </w:r>
          </w:p>
          <w:p w14:paraId="3E948FCE" w14:textId="77777777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 xml:space="preserve">Recomendaciones generales para la redacción de escritos de fondo </w:t>
            </w:r>
          </w:p>
          <w:p w14:paraId="4EAD08E8" w14:textId="77777777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Mirada comparada: la redacción legal en el sistema anglosajón.</w:t>
            </w:r>
          </w:p>
          <w:p w14:paraId="5F3B9A6D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Tramitación electrónica.</w:t>
            </w:r>
          </w:p>
          <w:p w14:paraId="0CA021E4" w14:textId="77777777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Funcionamiento de la OJV</w:t>
            </w:r>
          </w:p>
          <w:p w14:paraId="7640D695" w14:textId="77777777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Patrocinio y poder en la OJV</w:t>
            </w:r>
          </w:p>
          <w:p w14:paraId="3074F928" w14:textId="77777777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lastRenderedPageBreak/>
              <w:t>Firmas electrónicas simples y avanzadas</w:t>
            </w:r>
          </w:p>
        </w:tc>
        <w:tc>
          <w:tcPr>
            <w:tcW w:w="1800" w:type="dxa"/>
          </w:tcPr>
          <w:p w14:paraId="5A7A3E63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lastRenderedPageBreak/>
              <w:t>Estudiantes entregan minutas de estrategia para revisión.</w:t>
            </w:r>
          </w:p>
          <w:p w14:paraId="12874415" w14:textId="7DDE34F5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Ejercicios de redacción de escritos básicos</w:t>
            </w:r>
          </w:p>
        </w:tc>
        <w:tc>
          <w:tcPr>
            <w:tcW w:w="3330" w:type="dxa"/>
          </w:tcPr>
          <w:p w14:paraId="6A4B9738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Modelos de escritos básicos</w:t>
            </w:r>
          </w:p>
          <w:p w14:paraId="70F52505" w14:textId="77777777" w:rsidR="00D10223" w:rsidRPr="00555E9F" w:rsidRDefault="00D10223" w:rsidP="00D10223">
            <w:pPr>
              <w:pStyle w:val="Prrafodelista"/>
              <w:ind w:left="360"/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Copia de un “</w:t>
            </w:r>
            <w:r w:rsidRPr="00555E9F">
              <w:rPr>
                <w:i/>
                <w:sz w:val="16"/>
                <w:szCs w:val="16"/>
                <w:lang w:val="es-CL"/>
              </w:rPr>
              <w:t>legal filing</w:t>
            </w:r>
            <w:r w:rsidRPr="00555E9F">
              <w:rPr>
                <w:sz w:val="16"/>
                <w:szCs w:val="16"/>
                <w:lang w:val="es-CL"/>
              </w:rPr>
              <w:t>” anglosajón (amicus curiae brief “Kim Vs. DPRK).</w:t>
            </w:r>
          </w:p>
        </w:tc>
      </w:tr>
      <w:tr w:rsidR="00D10223" w:rsidRPr="00555E9F" w14:paraId="1C15F31E" w14:textId="77777777" w:rsidTr="00346B77">
        <w:tc>
          <w:tcPr>
            <w:tcW w:w="630" w:type="dxa"/>
          </w:tcPr>
          <w:p w14:paraId="3FA0B459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10</w:t>
            </w:r>
          </w:p>
        </w:tc>
        <w:tc>
          <w:tcPr>
            <w:tcW w:w="1170" w:type="dxa"/>
          </w:tcPr>
          <w:p w14:paraId="13338D81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 xml:space="preserve">Módulo 3: </w:t>
            </w:r>
          </w:p>
          <w:p w14:paraId="3BC8592B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Operatividad</w:t>
            </w:r>
          </w:p>
        </w:tc>
        <w:tc>
          <w:tcPr>
            <w:tcW w:w="3600" w:type="dxa"/>
          </w:tcPr>
          <w:p w14:paraId="10118F28" w14:textId="4A4357F6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Redacción legal:</w:t>
            </w:r>
          </w:p>
          <w:p w14:paraId="14924D0A" w14:textId="4D7842EC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Redacción de acciones en casos simulados</w:t>
            </w:r>
          </w:p>
          <w:p w14:paraId="050E080E" w14:textId="19AC23B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</w:p>
        </w:tc>
        <w:tc>
          <w:tcPr>
            <w:tcW w:w="1800" w:type="dxa"/>
          </w:tcPr>
          <w:p w14:paraId="6EA27F61" w14:textId="4986924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Equipos trabajan en redacción de acciones.</w:t>
            </w:r>
          </w:p>
        </w:tc>
        <w:tc>
          <w:tcPr>
            <w:tcW w:w="3330" w:type="dxa"/>
          </w:tcPr>
          <w:p w14:paraId="6AFD8CF8" w14:textId="77777777" w:rsidR="00D10223" w:rsidRPr="00555E9F" w:rsidRDefault="00D10223" w:rsidP="00D10223">
            <w:pPr>
              <w:pStyle w:val="Prrafodelista"/>
              <w:ind w:left="360"/>
              <w:rPr>
                <w:sz w:val="16"/>
                <w:szCs w:val="16"/>
                <w:lang w:val="es-CL"/>
              </w:rPr>
            </w:pPr>
          </w:p>
        </w:tc>
      </w:tr>
      <w:tr w:rsidR="00D10223" w:rsidRPr="00555E9F" w14:paraId="206C5AEE" w14:textId="77777777" w:rsidTr="00346B77">
        <w:tc>
          <w:tcPr>
            <w:tcW w:w="630" w:type="dxa"/>
          </w:tcPr>
          <w:p w14:paraId="111C8477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11</w:t>
            </w:r>
          </w:p>
        </w:tc>
        <w:tc>
          <w:tcPr>
            <w:tcW w:w="1170" w:type="dxa"/>
          </w:tcPr>
          <w:p w14:paraId="0E129669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 xml:space="preserve">Módulo 3: </w:t>
            </w:r>
          </w:p>
          <w:p w14:paraId="7A20F110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Operatividad</w:t>
            </w:r>
          </w:p>
        </w:tc>
        <w:tc>
          <w:tcPr>
            <w:tcW w:w="3600" w:type="dxa"/>
          </w:tcPr>
          <w:p w14:paraId="1A5E46FC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Redacción legal:</w:t>
            </w:r>
          </w:p>
          <w:p w14:paraId="433987FE" w14:textId="2DD5FFEC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Redacción de acciones en casos simulados</w:t>
            </w:r>
          </w:p>
        </w:tc>
        <w:tc>
          <w:tcPr>
            <w:tcW w:w="1800" w:type="dxa"/>
          </w:tcPr>
          <w:p w14:paraId="1122EB13" w14:textId="313DAF1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Equipos presentan acción.</w:t>
            </w:r>
          </w:p>
          <w:p w14:paraId="5204FC4B" w14:textId="0BCD77A1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Revisión y discusión grupal de pasos a seguir una vez presentada la acción.</w:t>
            </w:r>
          </w:p>
        </w:tc>
        <w:tc>
          <w:tcPr>
            <w:tcW w:w="3330" w:type="dxa"/>
          </w:tcPr>
          <w:p w14:paraId="244FB1FF" w14:textId="77777777" w:rsidR="00D10223" w:rsidRPr="00555E9F" w:rsidRDefault="00D10223" w:rsidP="00D10223">
            <w:pPr>
              <w:pStyle w:val="Prrafodelista"/>
              <w:ind w:left="360"/>
              <w:rPr>
                <w:sz w:val="16"/>
                <w:szCs w:val="16"/>
                <w:lang w:val="es-CL"/>
              </w:rPr>
            </w:pPr>
          </w:p>
        </w:tc>
      </w:tr>
      <w:tr w:rsidR="00D10223" w:rsidRPr="00555E9F" w14:paraId="4829DD4E" w14:textId="77777777" w:rsidTr="00346B77">
        <w:tc>
          <w:tcPr>
            <w:tcW w:w="630" w:type="dxa"/>
          </w:tcPr>
          <w:p w14:paraId="77E92763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12</w:t>
            </w:r>
          </w:p>
        </w:tc>
        <w:tc>
          <w:tcPr>
            <w:tcW w:w="1170" w:type="dxa"/>
          </w:tcPr>
          <w:p w14:paraId="4698F361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Módulo 3:</w:t>
            </w:r>
          </w:p>
          <w:p w14:paraId="74BDB829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Operatividad</w:t>
            </w:r>
          </w:p>
        </w:tc>
        <w:tc>
          <w:tcPr>
            <w:tcW w:w="3600" w:type="dxa"/>
          </w:tcPr>
          <w:p w14:paraId="3B90BF3A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Redacción legal:</w:t>
            </w:r>
          </w:p>
          <w:p w14:paraId="49F19E2C" w14:textId="5737BD52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Redacción de escritos según avance del proceso.</w:t>
            </w:r>
          </w:p>
        </w:tc>
        <w:tc>
          <w:tcPr>
            <w:tcW w:w="1800" w:type="dxa"/>
          </w:tcPr>
          <w:p w14:paraId="25C5322E" w14:textId="45D7173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Equipos presentan escritos.</w:t>
            </w:r>
          </w:p>
          <w:p w14:paraId="696BAFF9" w14:textId="51DA0D91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Revisión y discusión grupal de escritos presentados.</w:t>
            </w:r>
          </w:p>
        </w:tc>
        <w:tc>
          <w:tcPr>
            <w:tcW w:w="3330" w:type="dxa"/>
          </w:tcPr>
          <w:p w14:paraId="634AD067" w14:textId="77777777" w:rsidR="00D10223" w:rsidRPr="00555E9F" w:rsidRDefault="00D10223" w:rsidP="00D10223">
            <w:pPr>
              <w:pStyle w:val="Prrafodelista"/>
              <w:ind w:left="360"/>
              <w:rPr>
                <w:sz w:val="16"/>
                <w:szCs w:val="16"/>
                <w:lang w:val="es-CL"/>
              </w:rPr>
            </w:pPr>
          </w:p>
        </w:tc>
      </w:tr>
      <w:tr w:rsidR="00D10223" w:rsidRPr="00555E9F" w14:paraId="5DB3A705" w14:textId="77777777" w:rsidTr="00346B77">
        <w:tc>
          <w:tcPr>
            <w:tcW w:w="630" w:type="dxa"/>
          </w:tcPr>
          <w:p w14:paraId="091BC3AB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13</w:t>
            </w:r>
          </w:p>
        </w:tc>
        <w:tc>
          <w:tcPr>
            <w:tcW w:w="1170" w:type="dxa"/>
          </w:tcPr>
          <w:p w14:paraId="092E31CB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Módulo 3:</w:t>
            </w:r>
          </w:p>
          <w:p w14:paraId="4C38F4D7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Operatividad</w:t>
            </w:r>
          </w:p>
        </w:tc>
        <w:tc>
          <w:tcPr>
            <w:tcW w:w="3600" w:type="dxa"/>
          </w:tcPr>
          <w:p w14:paraId="4015A982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Negociación:</w:t>
            </w:r>
          </w:p>
          <w:p w14:paraId="1A14AC0E" w14:textId="77777777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Rol de la negociación en los procedimientos reformados.</w:t>
            </w:r>
          </w:p>
          <w:p w14:paraId="26196809" w14:textId="77777777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Técnicas de negociación.</w:t>
            </w:r>
          </w:p>
        </w:tc>
        <w:tc>
          <w:tcPr>
            <w:tcW w:w="1800" w:type="dxa"/>
          </w:tcPr>
          <w:p w14:paraId="4D3FBB93" w14:textId="3DF4A376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Entrega de escritos y revisión.</w:t>
            </w:r>
          </w:p>
        </w:tc>
        <w:tc>
          <w:tcPr>
            <w:tcW w:w="3330" w:type="dxa"/>
          </w:tcPr>
          <w:p w14:paraId="210BD33E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Roger Fisher y William Ury con Bruce M. Patton, Sí, de acuerdo! Como Negociar Sin Ceder.</w:t>
            </w:r>
          </w:p>
        </w:tc>
      </w:tr>
      <w:tr w:rsidR="00D10223" w:rsidRPr="00555E9F" w14:paraId="0A87339E" w14:textId="77777777" w:rsidTr="00346B77">
        <w:tc>
          <w:tcPr>
            <w:tcW w:w="630" w:type="dxa"/>
          </w:tcPr>
          <w:p w14:paraId="5E09C60A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14</w:t>
            </w:r>
          </w:p>
        </w:tc>
        <w:tc>
          <w:tcPr>
            <w:tcW w:w="1170" w:type="dxa"/>
          </w:tcPr>
          <w:p w14:paraId="37FF5662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Módulo 3:</w:t>
            </w:r>
          </w:p>
          <w:p w14:paraId="59A1C4E4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Operatividad</w:t>
            </w:r>
          </w:p>
        </w:tc>
        <w:tc>
          <w:tcPr>
            <w:tcW w:w="3600" w:type="dxa"/>
          </w:tcPr>
          <w:p w14:paraId="030D8151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Ejercicios prácticos de negociación: ambos equipos simulan conciliación.</w:t>
            </w:r>
          </w:p>
          <w:p w14:paraId="3826C1EA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</w:p>
        </w:tc>
        <w:tc>
          <w:tcPr>
            <w:tcW w:w="1800" w:type="dxa"/>
          </w:tcPr>
          <w:p w14:paraId="41E9FE69" w14:textId="7BC9CE76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Entrega de escritos y revisión.</w:t>
            </w:r>
          </w:p>
          <w:p w14:paraId="33114554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Simulación de conciliación.</w:t>
            </w:r>
          </w:p>
        </w:tc>
        <w:tc>
          <w:tcPr>
            <w:tcW w:w="3330" w:type="dxa"/>
          </w:tcPr>
          <w:p w14:paraId="389D6DB9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</w:p>
        </w:tc>
      </w:tr>
      <w:tr w:rsidR="00D10223" w:rsidRPr="00555E9F" w14:paraId="796290A1" w14:textId="77777777" w:rsidTr="00346B77">
        <w:tc>
          <w:tcPr>
            <w:tcW w:w="630" w:type="dxa"/>
          </w:tcPr>
          <w:p w14:paraId="7FD3ECF7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15</w:t>
            </w:r>
          </w:p>
        </w:tc>
        <w:tc>
          <w:tcPr>
            <w:tcW w:w="1170" w:type="dxa"/>
          </w:tcPr>
          <w:p w14:paraId="0036C542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Módulo 3:</w:t>
            </w:r>
          </w:p>
          <w:p w14:paraId="503A1C77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Operatividad</w:t>
            </w:r>
          </w:p>
        </w:tc>
        <w:tc>
          <w:tcPr>
            <w:tcW w:w="3600" w:type="dxa"/>
          </w:tcPr>
          <w:p w14:paraId="6062D081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La prueba: cómo preparar y ofrecer la prueba.</w:t>
            </w:r>
          </w:p>
          <w:p w14:paraId="49E5D3D5" w14:textId="77777777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Diferencias entre procedimientos según estándar de convicción y oralidad.</w:t>
            </w:r>
          </w:p>
          <w:p w14:paraId="10FC6C99" w14:textId="77777777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El uso de una minuta de prueba</w:t>
            </w:r>
          </w:p>
          <w:p w14:paraId="3EDED15F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</w:p>
          <w:p w14:paraId="0512EE4D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</w:p>
        </w:tc>
        <w:tc>
          <w:tcPr>
            <w:tcW w:w="1800" w:type="dxa"/>
          </w:tcPr>
          <w:p w14:paraId="6E7EBBAA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Revisión de auto de prueba para caso simulado.</w:t>
            </w:r>
          </w:p>
          <w:p w14:paraId="424CA9B5" w14:textId="490F6411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Preparación de reposición al auto de prueba.</w:t>
            </w:r>
          </w:p>
        </w:tc>
        <w:tc>
          <w:tcPr>
            <w:tcW w:w="3330" w:type="dxa"/>
          </w:tcPr>
          <w:p w14:paraId="213C2F48" w14:textId="77777777" w:rsidR="00247A82" w:rsidRPr="00247A82" w:rsidRDefault="00247A82" w:rsidP="00247A82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247A82">
              <w:rPr>
                <w:sz w:val="16"/>
                <w:szCs w:val="16"/>
                <w:lang w:val="es-CL"/>
              </w:rPr>
              <w:t>Rodrigo Matus De la Fuente. La Premisa Fáctica. Consideraciones Metodológicas para su Establecimiento en el Contexto Judicial. Thomson-Reuters, 2019 (extractos).</w:t>
            </w:r>
          </w:p>
          <w:p w14:paraId="2CE6DA7D" w14:textId="79B5E92A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Paul Bergman, La defensa en Juicio (extracto).</w:t>
            </w:r>
          </w:p>
          <w:p w14:paraId="2F58B69E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Mauricio Duce y Andrés Baytelman. Litigación Penal Juicio Oral y prueba.</w:t>
            </w:r>
          </w:p>
        </w:tc>
      </w:tr>
      <w:tr w:rsidR="00D10223" w:rsidRPr="00555E9F" w14:paraId="119AA846" w14:textId="77777777" w:rsidTr="00346B77">
        <w:tc>
          <w:tcPr>
            <w:tcW w:w="630" w:type="dxa"/>
          </w:tcPr>
          <w:p w14:paraId="7883C775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16</w:t>
            </w:r>
          </w:p>
        </w:tc>
        <w:tc>
          <w:tcPr>
            <w:tcW w:w="1170" w:type="dxa"/>
          </w:tcPr>
          <w:p w14:paraId="7287C145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Módulo 3:</w:t>
            </w:r>
          </w:p>
          <w:p w14:paraId="5D0E7850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Operatividad</w:t>
            </w:r>
          </w:p>
        </w:tc>
        <w:tc>
          <w:tcPr>
            <w:tcW w:w="3600" w:type="dxa"/>
          </w:tcPr>
          <w:p w14:paraId="6D5CFE03" w14:textId="25A52BA9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Preparación de minuta de prueba para casos simulados.</w:t>
            </w:r>
          </w:p>
        </w:tc>
        <w:tc>
          <w:tcPr>
            <w:tcW w:w="1800" w:type="dxa"/>
          </w:tcPr>
          <w:p w14:paraId="2389BDCA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Presentación de reposición al auto de prueba.</w:t>
            </w:r>
          </w:p>
          <w:p w14:paraId="7642BC3B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Preparación de minuta de prueba.</w:t>
            </w:r>
          </w:p>
        </w:tc>
        <w:tc>
          <w:tcPr>
            <w:tcW w:w="3330" w:type="dxa"/>
          </w:tcPr>
          <w:p w14:paraId="793C1911" w14:textId="77777777" w:rsidR="00D10223" w:rsidRPr="00555E9F" w:rsidRDefault="00D10223" w:rsidP="00247A82">
            <w:pPr>
              <w:pStyle w:val="Prrafodelista"/>
              <w:ind w:left="360"/>
              <w:rPr>
                <w:sz w:val="16"/>
                <w:szCs w:val="16"/>
                <w:lang w:val="es-CL"/>
              </w:rPr>
            </w:pPr>
          </w:p>
        </w:tc>
      </w:tr>
      <w:tr w:rsidR="00D10223" w:rsidRPr="00555E9F" w14:paraId="6DBA8707" w14:textId="77777777" w:rsidTr="00346B77">
        <w:tc>
          <w:tcPr>
            <w:tcW w:w="630" w:type="dxa"/>
          </w:tcPr>
          <w:p w14:paraId="75364C16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17</w:t>
            </w:r>
          </w:p>
        </w:tc>
        <w:tc>
          <w:tcPr>
            <w:tcW w:w="1170" w:type="dxa"/>
          </w:tcPr>
          <w:p w14:paraId="3F11CCD9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Módulo 3:</w:t>
            </w:r>
          </w:p>
          <w:p w14:paraId="28EC6731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Operatividad</w:t>
            </w:r>
          </w:p>
        </w:tc>
        <w:tc>
          <w:tcPr>
            <w:tcW w:w="3600" w:type="dxa"/>
          </w:tcPr>
          <w:p w14:paraId="103F8BC9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La prueba:</w:t>
            </w:r>
          </w:p>
          <w:p w14:paraId="70E24E58" w14:textId="77777777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Técnicas de examen y contra examen de testigos en procedimientos orales</w:t>
            </w:r>
          </w:p>
          <w:p w14:paraId="34E48C3E" w14:textId="77777777" w:rsidR="00D10223" w:rsidRPr="00555E9F" w:rsidRDefault="00D10223" w:rsidP="00D10223">
            <w:pPr>
              <w:pStyle w:val="Prrafodelista"/>
              <w:rPr>
                <w:sz w:val="16"/>
                <w:szCs w:val="16"/>
                <w:lang w:val="es-CL"/>
              </w:rPr>
            </w:pPr>
          </w:p>
        </w:tc>
        <w:tc>
          <w:tcPr>
            <w:tcW w:w="1800" w:type="dxa"/>
          </w:tcPr>
          <w:p w14:paraId="6AF89F3D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Ensayos de examen y contraexamen de testigo en procedimiento oral.</w:t>
            </w:r>
          </w:p>
          <w:p w14:paraId="3EE4ED2E" w14:textId="77777777" w:rsidR="00D10223" w:rsidRPr="00555E9F" w:rsidRDefault="00D10223" w:rsidP="00D10223">
            <w:pPr>
              <w:pStyle w:val="Prrafodelista"/>
              <w:ind w:left="360"/>
              <w:rPr>
                <w:sz w:val="16"/>
                <w:szCs w:val="16"/>
                <w:lang w:val="es-CL"/>
              </w:rPr>
            </w:pPr>
          </w:p>
        </w:tc>
        <w:tc>
          <w:tcPr>
            <w:tcW w:w="3330" w:type="dxa"/>
          </w:tcPr>
          <w:p w14:paraId="6F6BE290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Gonzalo Rúa S., Examen directo de testigos. Didot, 2015.</w:t>
            </w:r>
          </w:p>
          <w:p w14:paraId="18DF9AE3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Gonzalo Rúa S., Contraexamen de Testigos, Didot, 2014.</w:t>
            </w:r>
          </w:p>
          <w:p w14:paraId="0122DEE8" w14:textId="77777777" w:rsidR="00D10223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Paul Bergman, La defensa en Juicio (extracto).</w:t>
            </w:r>
          </w:p>
          <w:p w14:paraId="5545B195" w14:textId="5F423F65" w:rsidR="00247A82" w:rsidRPr="00247A82" w:rsidRDefault="00247A82" w:rsidP="00247A82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247A82">
              <w:rPr>
                <w:sz w:val="16"/>
                <w:szCs w:val="16"/>
                <w:lang w:val="es-CL"/>
              </w:rPr>
              <w:t>Rodrigo Matus De la Fuente. La Premisa Fáctica. Consideraciones Metodológicas para su Establecimiento en el Contexto Judicial. Thomson-Reuters, 2019 (extractos).</w:t>
            </w:r>
          </w:p>
        </w:tc>
      </w:tr>
      <w:tr w:rsidR="00D10223" w:rsidRPr="00555E9F" w14:paraId="735E8964" w14:textId="77777777" w:rsidTr="00346B77">
        <w:tc>
          <w:tcPr>
            <w:tcW w:w="630" w:type="dxa"/>
          </w:tcPr>
          <w:p w14:paraId="7C694F1F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18</w:t>
            </w:r>
          </w:p>
        </w:tc>
        <w:tc>
          <w:tcPr>
            <w:tcW w:w="1170" w:type="dxa"/>
          </w:tcPr>
          <w:p w14:paraId="6F0D528B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Módulo 3:</w:t>
            </w:r>
          </w:p>
          <w:p w14:paraId="6D24891E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Operatividad</w:t>
            </w:r>
          </w:p>
        </w:tc>
        <w:tc>
          <w:tcPr>
            <w:tcW w:w="3600" w:type="dxa"/>
          </w:tcPr>
          <w:p w14:paraId="2DAD3005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Oralidad</w:t>
            </w:r>
          </w:p>
          <w:p w14:paraId="68180DD9" w14:textId="77777777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 xml:space="preserve">La presentación oral como ejercicio de persuasión. </w:t>
            </w:r>
          </w:p>
          <w:p w14:paraId="7DD83C75" w14:textId="4F87A683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La oralidad en los procedimientos reformados y en Cortes.</w:t>
            </w:r>
          </w:p>
          <w:p w14:paraId="220BC217" w14:textId="410FD54B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Actividad práctica: revisión de alegatos ejemplares.</w:t>
            </w:r>
          </w:p>
          <w:p w14:paraId="6B9453A8" w14:textId="4C8266C3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 xml:space="preserve">Una mirada comparada: alegatos en el sistema anglosajón y el rol </w:t>
            </w:r>
            <w:r w:rsidRPr="00555E9F">
              <w:rPr>
                <w:i/>
                <w:sz w:val="16"/>
                <w:szCs w:val="16"/>
                <w:lang w:val="es-CL"/>
              </w:rPr>
              <w:t>activo</w:t>
            </w:r>
            <w:r w:rsidRPr="00555E9F">
              <w:rPr>
                <w:sz w:val="16"/>
                <w:szCs w:val="16"/>
                <w:lang w:val="es-CL"/>
              </w:rPr>
              <w:t xml:space="preserve"> del adjudicador.</w:t>
            </w:r>
          </w:p>
        </w:tc>
        <w:tc>
          <w:tcPr>
            <w:tcW w:w="1800" w:type="dxa"/>
          </w:tcPr>
          <w:p w14:paraId="345A3750" w14:textId="77777777" w:rsidR="00D10223" w:rsidRPr="00555E9F" w:rsidRDefault="00D10223" w:rsidP="00D10223">
            <w:pPr>
              <w:pStyle w:val="Prrafodelista"/>
              <w:ind w:left="360"/>
              <w:rPr>
                <w:sz w:val="16"/>
                <w:szCs w:val="16"/>
                <w:lang w:val="es-CL"/>
              </w:rPr>
            </w:pPr>
          </w:p>
        </w:tc>
        <w:tc>
          <w:tcPr>
            <w:tcW w:w="3330" w:type="dxa"/>
          </w:tcPr>
          <w:p w14:paraId="0408C578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 xml:space="preserve">Rodrigo Valenzuela C., Conflicto y humanidades: un ensayo sobre argumentación jurídica (Capítulo “Retórica”). </w:t>
            </w:r>
          </w:p>
          <w:p w14:paraId="5F8C320E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Mirjan Damaska, Dos caras de la Justicia (Capítulo 2.i “implicancias procesales del ideal jerárquico”).</w:t>
            </w:r>
          </w:p>
          <w:p w14:paraId="20693C66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Video alegatos Prof. Juan Bustos, caso Orlando Letelier.</w:t>
            </w:r>
          </w:p>
          <w:p w14:paraId="003ECB75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Video alegatos Prof. Alfredo Etcheberry, Caso “despenalización del aborto en tres causales”.</w:t>
            </w:r>
          </w:p>
          <w:p w14:paraId="040FF60A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 xml:space="preserve">Audio alegatos Corte Suprema Estados Unidos (transcripción de secciones).  </w:t>
            </w:r>
          </w:p>
        </w:tc>
      </w:tr>
      <w:tr w:rsidR="00D10223" w:rsidRPr="00555E9F" w14:paraId="146D7414" w14:textId="77777777" w:rsidTr="00346B77">
        <w:tc>
          <w:tcPr>
            <w:tcW w:w="630" w:type="dxa"/>
          </w:tcPr>
          <w:p w14:paraId="1A7E1BD9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19</w:t>
            </w:r>
          </w:p>
        </w:tc>
        <w:tc>
          <w:tcPr>
            <w:tcW w:w="1170" w:type="dxa"/>
          </w:tcPr>
          <w:p w14:paraId="72FF23C7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Módulo 3:</w:t>
            </w:r>
          </w:p>
          <w:p w14:paraId="410C823A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Operatividad</w:t>
            </w:r>
          </w:p>
        </w:tc>
        <w:tc>
          <w:tcPr>
            <w:tcW w:w="3600" w:type="dxa"/>
          </w:tcPr>
          <w:p w14:paraId="17ECCB81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Oralidad</w:t>
            </w:r>
          </w:p>
          <w:p w14:paraId="7247E4EF" w14:textId="77777777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 xml:space="preserve">Técnicas para la preparación de alegatos orales: </w:t>
            </w:r>
          </w:p>
          <w:p w14:paraId="4B269331" w14:textId="77777777" w:rsidR="00D10223" w:rsidRPr="00555E9F" w:rsidRDefault="00D10223" w:rsidP="00D10223">
            <w:pPr>
              <w:pStyle w:val="Prrafodelista"/>
              <w:numPr>
                <w:ilvl w:val="2"/>
                <w:numId w:val="8"/>
              </w:numPr>
              <w:rPr>
                <w:i/>
                <w:sz w:val="16"/>
                <w:szCs w:val="16"/>
                <w:lang w:val="es-CL"/>
              </w:rPr>
            </w:pPr>
            <w:r w:rsidRPr="00555E9F">
              <w:rPr>
                <w:i/>
                <w:sz w:val="16"/>
                <w:szCs w:val="16"/>
                <w:lang w:val="es-CL"/>
              </w:rPr>
              <w:t>Leitmotiv</w:t>
            </w:r>
            <w:r w:rsidRPr="00555E9F">
              <w:rPr>
                <w:sz w:val="16"/>
                <w:szCs w:val="16"/>
                <w:lang w:val="es-CL"/>
              </w:rPr>
              <w:t>: ¿de qué se trata este caso?</w:t>
            </w:r>
          </w:p>
          <w:p w14:paraId="21E9AE12" w14:textId="77777777" w:rsidR="00D10223" w:rsidRPr="00555E9F" w:rsidRDefault="00D10223" w:rsidP="00D10223">
            <w:pPr>
              <w:pStyle w:val="Prrafodelista"/>
              <w:numPr>
                <w:ilvl w:val="2"/>
                <w:numId w:val="8"/>
              </w:numPr>
              <w:rPr>
                <w:i/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El conocimiento del expediente.</w:t>
            </w:r>
          </w:p>
          <w:p w14:paraId="1CC7B844" w14:textId="77777777" w:rsidR="00D10223" w:rsidRPr="00555E9F" w:rsidRDefault="00D10223" w:rsidP="00D10223">
            <w:pPr>
              <w:pStyle w:val="Prrafodelista"/>
              <w:numPr>
                <w:ilvl w:val="2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 xml:space="preserve">Alegatos lineales vs. </w:t>
            </w:r>
            <w:r w:rsidRPr="00555E9F">
              <w:rPr>
                <w:i/>
                <w:sz w:val="16"/>
                <w:szCs w:val="16"/>
                <w:lang w:val="es-CL"/>
              </w:rPr>
              <w:t xml:space="preserve">Burbujas </w:t>
            </w:r>
            <w:r w:rsidRPr="00555E9F">
              <w:rPr>
                <w:sz w:val="16"/>
                <w:szCs w:val="16"/>
                <w:lang w:val="es-CL"/>
              </w:rPr>
              <w:t>de argumentos</w:t>
            </w:r>
          </w:p>
        </w:tc>
        <w:tc>
          <w:tcPr>
            <w:tcW w:w="1800" w:type="dxa"/>
          </w:tcPr>
          <w:p w14:paraId="0E7B75D2" w14:textId="4E35C455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Equipos reciben antecedentes para simulación de litigio en corte.</w:t>
            </w:r>
          </w:p>
          <w:p w14:paraId="34F4C65F" w14:textId="636FBD13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Preparación de apelaciones.</w:t>
            </w:r>
          </w:p>
        </w:tc>
        <w:tc>
          <w:tcPr>
            <w:tcW w:w="3330" w:type="dxa"/>
          </w:tcPr>
          <w:p w14:paraId="2D6AF0CC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Paul Bergman, La defensa en Juicio (extracto).</w:t>
            </w:r>
          </w:p>
          <w:p w14:paraId="7AA4841E" w14:textId="77777777" w:rsidR="00D10223" w:rsidRPr="00555E9F" w:rsidRDefault="00D10223" w:rsidP="00D10223">
            <w:pPr>
              <w:pStyle w:val="Prrafodelista"/>
              <w:ind w:left="360"/>
              <w:rPr>
                <w:sz w:val="16"/>
                <w:szCs w:val="16"/>
                <w:lang w:val="es-CL"/>
              </w:rPr>
            </w:pPr>
          </w:p>
        </w:tc>
      </w:tr>
      <w:tr w:rsidR="00D10223" w:rsidRPr="00555E9F" w14:paraId="0417B5F0" w14:textId="77777777" w:rsidTr="00346B77">
        <w:tc>
          <w:tcPr>
            <w:tcW w:w="630" w:type="dxa"/>
          </w:tcPr>
          <w:p w14:paraId="05AE5A8E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lastRenderedPageBreak/>
              <w:t>20</w:t>
            </w:r>
          </w:p>
        </w:tc>
        <w:tc>
          <w:tcPr>
            <w:tcW w:w="1170" w:type="dxa"/>
          </w:tcPr>
          <w:p w14:paraId="0CD4B395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Módulo 3:</w:t>
            </w:r>
          </w:p>
          <w:p w14:paraId="56FA253B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Operatividad</w:t>
            </w:r>
          </w:p>
        </w:tc>
        <w:tc>
          <w:tcPr>
            <w:tcW w:w="3600" w:type="dxa"/>
          </w:tcPr>
          <w:p w14:paraId="55733AEC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Trabajo práctico:</w:t>
            </w:r>
          </w:p>
          <w:p w14:paraId="40A85E8E" w14:textId="77777777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Revisión de aspectos centrales de litigación en Cortes de Apelaciones</w:t>
            </w:r>
          </w:p>
          <w:p w14:paraId="164039DE" w14:textId="77777777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Revisión de medidas aplicables a la litigación en Cortes durante el estado de excepción constitucional.</w:t>
            </w:r>
          </w:p>
          <w:p w14:paraId="38F8A9AE" w14:textId="77777777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Preparación de escritos para litigio en Corte (anuncios para alegatos en línea, uso de derechos).</w:t>
            </w:r>
          </w:p>
          <w:p w14:paraId="36923C3F" w14:textId="77777777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Preparación de Alegatos.</w:t>
            </w:r>
          </w:p>
        </w:tc>
        <w:tc>
          <w:tcPr>
            <w:tcW w:w="1800" w:type="dxa"/>
          </w:tcPr>
          <w:p w14:paraId="231E1408" w14:textId="50B56315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Entrega apelación.</w:t>
            </w:r>
          </w:p>
          <w:p w14:paraId="53F333E6" w14:textId="591A9483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Preparación de escritos de trámite para litigio en Corte.</w:t>
            </w:r>
          </w:p>
        </w:tc>
        <w:tc>
          <w:tcPr>
            <w:tcW w:w="3330" w:type="dxa"/>
          </w:tcPr>
          <w:p w14:paraId="341AD2DA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</w:p>
        </w:tc>
      </w:tr>
      <w:tr w:rsidR="00D10223" w:rsidRPr="00555E9F" w14:paraId="2F2807A0" w14:textId="77777777" w:rsidTr="00346B77">
        <w:tc>
          <w:tcPr>
            <w:tcW w:w="630" w:type="dxa"/>
          </w:tcPr>
          <w:p w14:paraId="1CAB6945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21</w:t>
            </w:r>
          </w:p>
        </w:tc>
        <w:tc>
          <w:tcPr>
            <w:tcW w:w="1170" w:type="dxa"/>
          </w:tcPr>
          <w:p w14:paraId="76F22E91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Módulo 3:</w:t>
            </w:r>
          </w:p>
          <w:p w14:paraId="43F15AD9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Operatividad</w:t>
            </w:r>
          </w:p>
        </w:tc>
        <w:tc>
          <w:tcPr>
            <w:tcW w:w="3600" w:type="dxa"/>
          </w:tcPr>
          <w:p w14:paraId="1D371F82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Trabajo práctico:</w:t>
            </w:r>
          </w:p>
          <w:p w14:paraId="66C08E8C" w14:textId="77AF7538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Alegatos simulados</w:t>
            </w:r>
          </w:p>
          <w:p w14:paraId="04298647" w14:textId="77777777" w:rsidR="00D10223" w:rsidRPr="00555E9F" w:rsidRDefault="00D10223" w:rsidP="00D10223">
            <w:pPr>
              <w:pStyle w:val="Prrafodelista"/>
              <w:rPr>
                <w:sz w:val="16"/>
                <w:szCs w:val="16"/>
                <w:lang w:val="es-CL"/>
              </w:rPr>
            </w:pPr>
          </w:p>
        </w:tc>
        <w:tc>
          <w:tcPr>
            <w:tcW w:w="1800" w:type="dxa"/>
          </w:tcPr>
          <w:p w14:paraId="4810F71B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Realización de alegatos.</w:t>
            </w:r>
          </w:p>
          <w:p w14:paraId="4DE4B22E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Evaluación de alegatos.</w:t>
            </w:r>
          </w:p>
        </w:tc>
        <w:tc>
          <w:tcPr>
            <w:tcW w:w="3330" w:type="dxa"/>
          </w:tcPr>
          <w:p w14:paraId="599473B7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</w:p>
        </w:tc>
      </w:tr>
      <w:tr w:rsidR="00D10223" w:rsidRPr="00555E9F" w14:paraId="25A99217" w14:textId="77777777" w:rsidTr="00346B77">
        <w:tc>
          <w:tcPr>
            <w:tcW w:w="630" w:type="dxa"/>
          </w:tcPr>
          <w:p w14:paraId="2DB95E4B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22</w:t>
            </w:r>
          </w:p>
        </w:tc>
        <w:tc>
          <w:tcPr>
            <w:tcW w:w="1170" w:type="dxa"/>
          </w:tcPr>
          <w:p w14:paraId="3B631C91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Módulo 3:</w:t>
            </w:r>
          </w:p>
          <w:p w14:paraId="644BBECA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Operatividad</w:t>
            </w:r>
          </w:p>
        </w:tc>
        <w:tc>
          <w:tcPr>
            <w:tcW w:w="3600" w:type="dxa"/>
          </w:tcPr>
          <w:p w14:paraId="48E33C99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Trabajo práctico:</w:t>
            </w:r>
          </w:p>
          <w:p w14:paraId="5098A507" w14:textId="00FAA31C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Alegatos simulados</w:t>
            </w:r>
          </w:p>
          <w:p w14:paraId="0AFFE985" w14:textId="77777777" w:rsidR="00D10223" w:rsidRPr="00555E9F" w:rsidRDefault="00D10223" w:rsidP="00D10223">
            <w:pPr>
              <w:pStyle w:val="Prrafodelista"/>
              <w:rPr>
                <w:sz w:val="16"/>
                <w:szCs w:val="16"/>
                <w:lang w:val="es-CL"/>
              </w:rPr>
            </w:pPr>
          </w:p>
        </w:tc>
        <w:tc>
          <w:tcPr>
            <w:tcW w:w="1800" w:type="dxa"/>
          </w:tcPr>
          <w:p w14:paraId="16AE3CFB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Realización de alegatos.</w:t>
            </w:r>
          </w:p>
          <w:p w14:paraId="295AD196" w14:textId="4D465659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Evaluación de alegatos.</w:t>
            </w:r>
          </w:p>
        </w:tc>
        <w:tc>
          <w:tcPr>
            <w:tcW w:w="3330" w:type="dxa"/>
          </w:tcPr>
          <w:p w14:paraId="1C272B01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</w:p>
        </w:tc>
      </w:tr>
      <w:tr w:rsidR="00D10223" w:rsidRPr="00555E9F" w14:paraId="65A6D21E" w14:textId="77777777" w:rsidTr="00346B77">
        <w:tc>
          <w:tcPr>
            <w:tcW w:w="630" w:type="dxa"/>
          </w:tcPr>
          <w:p w14:paraId="75565631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23</w:t>
            </w:r>
          </w:p>
        </w:tc>
        <w:tc>
          <w:tcPr>
            <w:tcW w:w="1170" w:type="dxa"/>
          </w:tcPr>
          <w:p w14:paraId="0C358DD7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Módulo 3:</w:t>
            </w:r>
          </w:p>
          <w:p w14:paraId="7D8F2447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Operatividad</w:t>
            </w:r>
          </w:p>
        </w:tc>
        <w:tc>
          <w:tcPr>
            <w:tcW w:w="3600" w:type="dxa"/>
          </w:tcPr>
          <w:p w14:paraId="776FBA51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Trabajo práctico:</w:t>
            </w:r>
          </w:p>
          <w:p w14:paraId="144B9F74" w14:textId="70FEAD24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Alegatos simulados</w:t>
            </w:r>
          </w:p>
        </w:tc>
        <w:tc>
          <w:tcPr>
            <w:tcW w:w="1800" w:type="dxa"/>
          </w:tcPr>
          <w:p w14:paraId="3430D984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Realización de alegatos.</w:t>
            </w:r>
          </w:p>
          <w:p w14:paraId="3F4A3D9E" w14:textId="35AC50A1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Evaluación de alegatos.</w:t>
            </w:r>
          </w:p>
        </w:tc>
        <w:tc>
          <w:tcPr>
            <w:tcW w:w="3330" w:type="dxa"/>
          </w:tcPr>
          <w:p w14:paraId="1E2AA91F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</w:p>
        </w:tc>
      </w:tr>
      <w:tr w:rsidR="00D10223" w:rsidRPr="00555E9F" w14:paraId="3DE81607" w14:textId="77777777" w:rsidTr="00346B77">
        <w:trPr>
          <w:trHeight w:val="793"/>
        </w:trPr>
        <w:tc>
          <w:tcPr>
            <w:tcW w:w="630" w:type="dxa"/>
          </w:tcPr>
          <w:p w14:paraId="4BD7AA28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24</w:t>
            </w:r>
          </w:p>
        </w:tc>
        <w:tc>
          <w:tcPr>
            <w:tcW w:w="1170" w:type="dxa"/>
          </w:tcPr>
          <w:p w14:paraId="2BA79188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Módulo 3:</w:t>
            </w:r>
          </w:p>
          <w:p w14:paraId="5686CF71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Operatividad</w:t>
            </w:r>
          </w:p>
        </w:tc>
        <w:tc>
          <w:tcPr>
            <w:tcW w:w="3600" w:type="dxa"/>
          </w:tcPr>
          <w:p w14:paraId="0CD1155E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Trabajo práctico:</w:t>
            </w:r>
          </w:p>
          <w:p w14:paraId="4C2D7F87" w14:textId="2D23C162" w:rsidR="00D10223" w:rsidRPr="00555E9F" w:rsidRDefault="00D10223" w:rsidP="00D10223">
            <w:pPr>
              <w:pStyle w:val="Prrafodelista"/>
              <w:numPr>
                <w:ilvl w:val="1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Alegatos simulados</w:t>
            </w:r>
            <w:r w:rsidRPr="00555E9F">
              <w:rPr>
                <w:sz w:val="16"/>
                <w:szCs w:val="16"/>
                <w:lang w:val="es-CL"/>
              </w:rPr>
              <w:br/>
            </w:r>
          </w:p>
        </w:tc>
        <w:tc>
          <w:tcPr>
            <w:tcW w:w="1800" w:type="dxa"/>
          </w:tcPr>
          <w:p w14:paraId="088249B8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Realización de alegatos.</w:t>
            </w:r>
          </w:p>
          <w:p w14:paraId="0952CBFF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Evaluación de alegatos.</w:t>
            </w:r>
          </w:p>
          <w:p w14:paraId="4868B94C" w14:textId="77777777" w:rsidR="00D10223" w:rsidRPr="00555E9F" w:rsidRDefault="00D10223" w:rsidP="00D10223">
            <w:pPr>
              <w:pStyle w:val="Prrafodelista"/>
              <w:ind w:left="360"/>
              <w:rPr>
                <w:sz w:val="16"/>
                <w:szCs w:val="16"/>
                <w:lang w:val="es-CL"/>
              </w:rPr>
            </w:pPr>
          </w:p>
        </w:tc>
        <w:tc>
          <w:tcPr>
            <w:tcW w:w="3330" w:type="dxa"/>
          </w:tcPr>
          <w:p w14:paraId="74997345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</w:p>
        </w:tc>
      </w:tr>
      <w:tr w:rsidR="00D10223" w:rsidRPr="00555E9F" w14:paraId="792A66AD" w14:textId="77777777" w:rsidTr="00346B77">
        <w:trPr>
          <w:trHeight w:val="793"/>
        </w:trPr>
        <w:tc>
          <w:tcPr>
            <w:tcW w:w="630" w:type="dxa"/>
          </w:tcPr>
          <w:p w14:paraId="0BA1DD0B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25</w:t>
            </w:r>
          </w:p>
        </w:tc>
        <w:tc>
          <w:tcPr>
            <w:tcW w:w="1170" w:type="dxa"/>
          </w:tcPr>
          <w:p w14:paraId="5BA9A1F2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Módulo 3:</w:t>
            </w:r>
          </w:p>
          <w:p w14:paraId="15B6AE89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Operatividad</w:t>
            </w:r>
          </w:p>
        </w:tc>
        <w:tc>
          <w:tcPr>
            <w:tcW w:w="3600" w:type="dxa"/>
          </w:tcPr>
          <w:p w14:paraId="1C528DA5" w14:textId="77777777" w:rsidR="00D10223" w:rsidRPr="00555E9F" w:rsidRDefault="00D10223" w:rsidP="00D10223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  <w:lang w:val="es-CL"/>
              </w:rPr>
            </w:pPr>
            <w:r w:rsidRPr="00555E9F">
              <w:rPr>
                <w:sz w:val="16"/>
                <w:szCs w:val="16"/>
                <w:lang w:val="es-CL"/>
              </w:rPr>
              <w:t>Visita a tribunales / vista de causa en Corte, dependiendo de la situación de emergencia sanitaria.</w:t>
            </w:r>
          </w:p>
        </w:tc>
        <w:tc>
          <w:tcPr>
            <w:tcW w:w="1800" w:type="dxa"/>
          </w:tcPr>
          <w:p w14:paraId="2610BE8C" w14:textId="77777777" w:rsidR="00D10223" w:rsidRPr="00555E9F" w:rsidRDefault="00D10223" w:rsidP="00D10223">
            <w:pPr>
              <w:pStyle w:val="Prrafodelista"/>
              <w:ind w:left="360"/>
              <w:rPr>
                <w:sz w:val="16"/>
                <w:szCs w:val="16"/>
                <w:lang w:val="es-CL"/>
              </w:rPr>
            </w:pPr>
          </w:p>
        </w:tc>
        <w:tc>
          <w:tcPr>
            <w:tcW w:w="3330" w:type="dxa"/>
          </w:tcPr>
          <w:p w14:paraId="6B6ABEE6" w14:textId="77777777" w:rsidR="00D10223" w:rsidRPr="00555E9F" w:rsidRDefault="00D10223" w:rsidP="00D10223">
            <w:pPr>
              <w:rPr>
                <w:sz w:val="16"/>
                <w:szCs w:val="16"/>
                <w:lang w:val="es-CL"/>
              </w:rPr>
            </w:pPr>
          </w:p>
        </w:tc>
      </w:tr>
    </w:tbl>
    <w:p w14:paraId="6AB1F50E" w14:textId="77777777" w:rsidR="00346B77" w:rsidRPr="00555E9F" w:rsidRDefault="00346B77" w:rsidP="00346B77">
      <w:pPr>
        <w:rPr>
          <w:rFonts w:asciiTheme="minorHAnsi" w:hAnsiTheme="minorHAnsi"/>
        </w:rPr>
      </w:pPr>
    </w:p>
    <w:p w14:paraId="4812FDD1" w14:textId="77777777" w:rsidR="00346B77" w:rsidRPr="00555E9F" w:rsidRDefault="00346B77" w:rsidP="00346B77">
      <w:pPr>
        <w:rPr>
          <w:rFonts w:asciiTheme="minorHAnsi" w:hAnsiTheme="minorHAnsi"/>
        </w:rPr>
      </w:pPr>
    </w:p>
    <w:p w14:paraId="062A2DF7" w14:textId="77777777" w:rsidR="00346B77" w:rsidRPr="00555E9F" w:rsidRDefault="00346B77" w:rsidP="00D250FB">
      <w:pPr>
        <w:jc w:val="center"/>
        <w:rPr>
          <w:rFonts w:asciiTheme="minorHAnsi" w:hAnsiTheme="minorHAnsi"/>
        </w:rPr>
      </w:pPr>
    </w:p>
    <w:sectPr w:rsidR="00346B77" w:rsidRPr="00555E9F">
      <w:headerReference w:type="default" r:id="rId8"/>
      <w:footerReference w:type="default" r:id="rId9"/>
      <w:pgSz w:w="12242" w:h="18722"/>
      <w:pgMar w:top="1531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8EE17" w14:textId="77777777" w:rsidR="0060457C" w:rsidRDefault="0060457C">
      <w:pPr>
        <w:spacing w:after="0" w:line="240" w:lineRule="auto"/>
      </w:pPr>
      <w:r>
        <w:separator/>
      </w:r>
    </w:p>
  </w:endnote>
  <w:endnote w:type="continuationSeparator" w:id="0">
    <w:p w14:paraId="2E6AF10A" w14:textId="77777777" w:rsidR="0060457C" w:rsidRDefault="0060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6242" w14:textId="77777777" w:rsidR="00A83D68" w:rsidRDefault="00A83D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1135" w:firstLine="7020"/>
      <w:rPr>
        <w:rFonts w:ascii="Arial" w:eastAsia="Arial" w:hAnsi="Arial" w:cs="Arial"/>
        <w:color w:val="999999"/>
        <w:sz w:val="12"/>
        <w:szCs w:val="12"/>
      </w:rPr>
    </w:pPr>
  </w:p>
  <w:p w14:paraId="4804817A" w14:textId="77777777" w:rsidR="00A83D68" w:rsidRDefault="00A83D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1135"/>
      <w:rPr>
        <w:rFonts w:ascii="Arial" w:eastAsia="Arial" w:hAnsi="Arial" w:cs="Arial"/>
        <w:color w:val="999999"/>
        <w:sz w:val="12"/>
        <w:szCs w:val="12"/>
      </w:rPr>
    </w:pPr>
  </w:p>
  <w:p w14:paraId="6FE7F6C4" w14:textId="77777777" w:rsidR="00A83D68" w:rsidRDefault="00A83D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1135" w:firstLine="7020"/>
      <w:rPr>
        <w:rFonts w:ascii="Arial" w:eastAsia="Arial" w:hAnsi="Arial" w:cs="Arial"/>
        <w:color w:val="999999"/>
        <w:sz w:val="12"/>
        <w:szCs w:val="12"/>
      </w:rPr>
    </w:pPr>
  </w:p>
  <w:p w14:paraId="30F2A80D" w14:textId="77777777" w:rsidR="00A83D68" w:rsidRDefault="00A83D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1135" w:firstLine="7020"/>
      <w:rPr>
        <w:rFonts w:ascii="Arial" w:eastAsia="Arial" w:hAnsi="Arial" w:cs="Arial"/>
        <w:color w:val="999999"/>
        <w:sz w:val="12"/>
        <w:szCs w:val="12"/>
      </w:rPr>
    </w:pPr>
  </w:p>
  <w:p w14:paraId="6825D575" w14:textId="77777777" w:rsidR="00A83D68" w:rsidRDefault="00A83D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6AD6E" w14:textId="77777777" w:rsidR="0060457C" w:rsidRDefault="0060457C">
      <w:pPr>
        <w:spacing w:after="0" w:line="240" w:lineRule="auto"/>
      </w:pPr>
      <w:r>
        <w:separator/>
      </w:r>
    </w:p>
  </w:footnote>
  <w:footnote w:type="continuationSeparator" w:id="0">
    <w:p w14:paraId="484A5705" w14:textId="77777777" w:rsidR="0060457C" w:rsidRDefault="0060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616B4" w14:textId="77777777" w:rsidR="00A83D68" w:rsidRDefault="001161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s-ES_tradnl" w:eastAsia="es-ES_tradnl"/>
      </w:rPr>
      <w:drawing>
        <wp:inline distT="0" distB="0" distL="0" distR="0" wp14:anchorId="073EA4DA" wp14:editId="0946E0B1">
          <wp:extent cx="2175000" cy="908518"/>
          <wp:effectExtent l="0" t="0" r="0" b="0"/>
          <wp:docPr id="1" name="image1.png" descr="C:\Users\aschmidt\Desktop\escuela de pregrado-03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schmidt\Desktop\escuela de pregrado-03.tif"/>
                  <pic:cNvPicPr preferRelativeResize="0"/>
                </pic:nvPicPr>
                <pic:blipFill>
                  <a:blip r:embed="rId1"/>
                  <a:srcRect t="23462" b="20799"/>
                  <a:stretch>
                    <a:fillRect/>
                  </a:stretch>
                </pic:blipFill>
                <pic:spPr>
                  <a:xfrm>
                    <a:off x="0" y="0"/>
                    <a:ext cx="2175000" cy="9085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FF2"/>
    <w:multiLevelType w:val="hybridMultilevel"/>
    <w:tmpl w:val="F7980D04"/>
    <w:lvl w:ilvl="0" w:tplc="76064AE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826B0"/>
    <w:multiLevelType w:val="hybridMultilevel"/>
    <w:tmpl w:val="F3EAF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50192"/>
    <w:multiLevelType w:val="multilevel"/>
    <w:tmpl w:val="D8B2B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7C2B5B"/>
    <w:multiLevelType w:val="hybridMultilevel"/>
    <w:tmpl w:val="E0F803E0"/>
    <w:lvl w:ilvl="0" w:tplc="184A1B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es-C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5F20"/>
    <w:multiLevelType w:val="hybridMultilevel"/>
    <w:tmpl w:val="F66884CA"/>
    <w:lvl w:ilvl="0" w:tplc="184A1BB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lang w:val="es-CL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835B2"/>
    <w:multiLevelType w:val="hybridMultilevel"/>
    <w:tmpl w:val="5776B56A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A45BBB"/>
    <w:multiLevelType w:val="hybridMultilevel"/>
    <w:tmpl w:val="BD3C3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B1EE3"/>
    <w:multiLevelType w:val="hybridMultilevel"/>
    <w:tmpl w:val="2BC4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573E7"/>
    <w:multiLevelType w:val="hybridMultilevel"/>
    <w:tmpl w:val="616C04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B30DD"/>
    <w:multiLevelType w:val="hybridMultilevel"/>
    <w:tmpl w:val="AD86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52AAD"/>
    <w:multiLevelType w:val="hybridMultilevel"/>
    <w:tmpl w:val="BD3C3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63137"/>
    <w:multiLevelType w:val="hybridMultilevel"/>
    <w:tmpl w:val="AFF27058"/>
    <w:lvl w:ilvl="0" w:tplc="184A1B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es-C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68"/>
    <w:rsid w:val="000150B6"/>
    <w:rsid w:val="000E42F8"/>
    <w:rsid w:val="000F41C5"/>
    <w:rsid w:val="001161A4"/>
    <w:rsid w:val="001436E4"/>
    <w:rsid w:val="001C6B02"/>
    <w:rsid w:val="0020174C"/>
    <w:rsid w:val="00247A82"/>
    <w:rsid w:val="00346B77"/>
    <w:rsid w:val="003B713F"/>
    <w:rsid w:val="003C26AA"/>
    <w:rsid w:val="0044725A"/>
    <w:rsid w:val="00534FA0"/>
    <w:rsid w:val="00555E9F"/>
    <w:rsid w:val="005856DE"/>
    <w:rsid w:val="0060457C"/>
    <w:rsid w:val="00721E77"/>
    <w:rsid w:val="00753F71"/>
    <w:rsid w:val="0075618D"/>
    <w:rsid w:val="00781526"/>
    <w:rsid w:val="007F11F2"/>
    <w:rsid w:val="008423F8"/>
    <w:rsid w:val="008C52E7"/>
    <w:rsid w:val="008E40BB"/>
    <w:rsid w:val="00910A84"/>
    <w:rsid w:val="00934384"/>
    <w:rsid w:val="00935AC6"/>
    <w:rsid w:val="009941B1"/>
    <w:rsid w:val="00A21208"/>
    <w:rsid w:val="00A60A48"/>
    <w:rsid w:val="00A83D68"/>
    <w:rsid w:val="00AA5946"/>
    <w:rsid w:val="00BB607F"/>
    <w:rsid w:val="00C30CAB"/>
    <w:rsid w:val="00D100C8"/>
    <w:rsid w:val="00D10223"/>
    <w:rsid w:val="00D250FB"/>
    <w:rsid w:val="00D61CDD"/>
    <w:rsid w:val="00DC5E79"/>
    <w:rsid w:val="00E13965"/>
    <w:rsid w:val="00E62284"/>
    <w:rsid w:val="00E6235B"/>
    <w:rsid w:val="00E74BEA"/>
    <w:rsid w:val="00EE1306"/>
    <w:rsid w:val="00F06CF8"/>
    <w:rsid w:val="00F24755"/>
    <w:rsid w:val="00F30720"/>
    <w:rsid w:val="00FC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02CC2A"/>
  <w15:docId w15:val="{1FDFE901-4267-4AFB-90D7-13BA4BB9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0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F11F2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aconcuadrcula">
    <w:name w:val="Table Grid"/>
    <w:basedOn w:val="Tablanormal"/>
    <w:uiPriority w:val="39"/>
    <w:rsid w:val="00D250FB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250F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46B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6B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6B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5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5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4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yez.org/cases/1965/7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2370</Words>
  <Characters>13039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pmella</dc:creator>
  <cp:lastModifiedBy>esobarzo@derecho.uchile.cl</cp:lastModifiedBy>
  <cp:revision>2</cp:revision>
  <cp:lastPrinted>2019-06-28T17:00:00Z</cp:lastPrinted>
  <dcterms:created xsi:type="dcterms:W3CDTF">2021-03-08T15:44:00Z</dcterms:created>
  <dcterms:modified xsi:type="dcterms:W3CDTF">2021-03-08T15:44:00Z</dcterms:modified>
</cp:coreProperties>
</file>