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B4" w:rsidRDefault="00396AB4" w:rsidP="008601C4">
      <w:pPr>
        <w:spacing w:after="120"/>
        <w:rPr>
          <w:rFonts w:ascii="Times New Roman" w:hAnsi="Times New Roman" w:cs="Times New Roman"/>
          <w:b/>
        </w:rPr>
      </w:pPr>
    </w:p>
    <w:p w:rsidR="0003229F" w:rsidRDefault="0003229F" w:rsidP="008601C4">
      <w:pPr>
        <w:pStyle w:val="Prrafodelista"/>
        <w:spacing w:after="120"/>
        <w:ind w:left="360"/>
        <w:jc w:val="both"/>
        <w:rPr>
          <w:rFonts w:ascii="Times New Roman" w:hAnsi="Times New Roman" w:cs="Times New Roman"/>
          <w:b/>
        </w:rPr>
      </w:pPr>
    </w:p>
    <w:tbl>
      <w:tblPr>
        <w:tblStyle w:val="Tablaconcuadrcula"/>
        <w:tblW w:w="0" w:type="auto"/>
        <w:tblInd w:w="-34" w:type="dxa"/>
        <w:tblLook w:val="04A0" w:firstRow="1" w:lastRow="0" w:firstColumn="1" w:lastColumn="0" w:noHBand="0" w:noVBand="1"/>
      </w:tblPr>
      <w:tblGrid>
        <w:gridCol w:w="13183"/>
      </w:tblGrid>
      <w:tr w:rsidR="0003229F" w:rsidTr="00182BC9">
        <w:tc>
          <w:tcPr>
            <w:tcW w:w="13183" w:type="dxa"/>
          </w:tcPr>
          <w:p w:rsidR="0003229F" w:rsidRDefault="0003229F" w:rsidP="008601C4">
            <w:pPr>
              <w:pStyle w:val="Prrafodelista"/>
              <w:spacing w:after="120"/>
              <w:ind w:left="0"/>
              <w:jc w:val="both"/>
              <w:rPr>
                <w:rFonts w:ascii="Times New Roman" w:hAnsi="Times New Roman" w:cs="Times New Roman"/>
                <w:b/>
              </w:rPr>
            </w:pPr>
          </w:p>
          <w:p w:rsidR="004368F6" w:rsidRPr="00DA229A" w:rsidRDefault="004368F6" w:rsidP="008601C4">
            <w:pPr>
              <w:pStyle w:val="Prrafodelista"/>
              <w:spacing w:after="120"/>
              <w:ind w:left="0"/>
              <w:jc w:val="both"/>
              <w:rPr>
                <w:rFonts w:ascii="Times New Roman" w:hAnsi="Times New Roman" w:cs="Times New Roman"/>
                <w:b/>
                <w:bCs/>
                <w:sz w:val="48"/>
                <w:szCs w:val="48"/>
              </w:rPr>
            </w:pPr>
            <w:r w:rsidRPr="00DA229A">
              <w:rPr>
                <w:rFonts w:ascii="Times New Roman" w:hAnsi="Times New Roman" w:cs="Times New Roman"/>
                <w:b/>
                <w:bCs/>
                <w:sz w:val="48"/>
                <w:szCs w:val="48"/>
              </w:rPr>
              <w:t>Magíster en Derecho con mención en Derecho Penal</w:t>
            </w:r>
          </w:p>
          <w:p w:rsidR="00396AB4" w:rsidRDefault="00396AB4" w:rsidP="008601C4">
            <w:pPr>
              <w:pStyle w:val="Prrafodelista"/>
              <w:spacing w:after="120"/>
              <w:ind w:left="0"/>
              <w:jc w:val="both"/>
              <w:rPr>
                <w:rFonts w:ascii="Times New Roman" w:hAnsi="Times New Roman" w:cs="Times New Roman"/>
                <w:b/>
              </w:rPr>
            </w:pPr>
          </w:p>
        </w:tc>
      </w:tr>
    </w:tbl>
    <w:p w:rsidR="0003229F" w:rsidRDefault="0003229F" w:rsidP="008601C4">
      <w:pPr>
        <w:pStyle w:val="Prrafodelista"/>
        <w:spacing w:after="120"/>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rPr>
          <w:trHeight w:val="140"/>
        </w:trPr>
        <w:tc>
          <w:tcPr>
            <w:tcW w:w="5000" w:type="pct"/>
          </w:tcPr>
          <w:p w:rsidR="00525BFE" w:rsidRPr="00FA4DB3" w:rsidRDefault="00525BFE" w:rsidP="008601C4">
            <w:pPr>
              <w:spacing w:after="120"/>
              <w:jc w:val="both"/>
              <w:rPr>
                <w:rFonts w:ascii="Times New Roman" w:hAnsi="Times New Roman" w:cs="Times New Roman"/>
                <w:b/>
                <w:sz w:val="28"/>
                <w:szCs w:val="28"/>
              </w:rPr>
            </w:pPr>
            <w:r w:rsidRPr="00F73B59">
              <w:rPr>
                <w:rFonts w:ascii="Times New Roman" w:hAnsi="Times New Roman" w:cs="Times New Roman"/>
                <w:b/>
              </w:rPr>
              <w:t>Nombre</w:t>
            </w:r>
            <w:r>
              <w:rPr>
                <w:rFonts w:ascii="Times New Roman" w:hAnsi="Times New Roman" w:cs="Times New Roman"/>
                <w:b/>
              </w:rPr>
              <w:t xml:space="preserve"> del</w:t>
            </w:r>
            <w:r w:rsidRPr="00F73B59">
              <w:rPr>
                <w:rFonts w:ascii="Times New Roman" w:hAnsi="Times New Roman" w:cs="Times New Roman"/>
                <w:b/>
              </w:rPr>
              <w:t xml:space="preserve"> curso</w:t>
            </w:r>
            <w:r>
              <w:rPr>
                <w:rFonts w:ascii="Times New Roman" w:hAnsi="Times New Roman" w:cs="Times New Roman"/>
                <w:b/>
              </w:rPr>
              <w:t>/taller/seminario</w:t>
            </w:r>
            <w:r w:rsidRPr="00F73B59">
              <w:rPr>
                <w:rFonts w:ascii="Times New Roman" w:hAnsi="Times New Roman" w:cs="Times New Roman"/>
                <w:b/>
              </w:rPr>
              <w:t xml:space="preserve">: </w:t>
            </w:r>
            <w:r w:rsidR="008D79A7" w:rsidRPr="00FA4DB3">
              <w:rPr>
                <w:rFonts w:ascii="Times New Roman" w:hAnsi="Times New Roman" w:cs="Times New Roman"/>
                <w:b/>
                <w:sz w:val="28"/>
                <w:szCs w:val="28"/>
              </w:rPr>
              <w:t>Temas emergentes del Derecho Penal (Delitos contra el Estado y la sociedad II)</w:t>
            </w:r>
            <w:r w:rsidR="005A1CFD" w:rsidRPr="00FA4DB3">
              <w:rPr>
                <w:rFonts w:ascii="Times New Roman" w:hAnsi="Times New Roman" w:cs="Times New Roman"/>
                <w:b/>
                <w:sz w:val="28"/>
                <w:szCs w:val="28"/>
              </w:rPr>
              <w:t>.</w:t>
            </w:r>
          </w:p>
          <w:p w:rsidR="00525BFE" w:rsidRDefault="00525BFE" w:rsidP="008601C4">
            <w:pPr>
              <w:spacing w:after="120"/>
              <w:jc w:val="both"/>
              <w:rPr>
                <w:rFonts w:ascii="Times New Roman" w:hAnsi="Times New Roman" w:cs="Times New Roman"/>
                <w:b/>
              </w:rPr>
            </w:pPr>
            <w:r>
              <w:rPr>
                <w:rFonts w:ascii="Times New Roman" w:hAnsi="Times New Roman" w:cs="Times New Roman"/>
                <w:b/>
              </w:rPr>
              <w:t>Año:</w:t>
            </w:r>
            <w:r w:rsidR="008D79A7">
              <w:rPr>
                <w:rFonts w:ascii="Times New Roman" w:hAnsi="Times New Roman" w:cs="Times New Roman"/>
                <w:b/>
              </w:rPr>
              <w:t xml:space="preserve"> </w:t>
            </w:r>
            <w:r w:rsidR="008D79A7" w:rsidRPr="00434743">
              <w:rPr>
                <w:rFonts w:ascii="Times New Roman" w:hAnsi="Times New Roman" w:cs="Times New Roman"/>
              </w:rPr>
              <w:t>2018</w:t>
            </w:r>
          </w:p>
          <w:p w:rsidR="00525BFE" w:rsidRPr="00EE6BFB" w:rsidRDefault="00525BFE" w:rsidP="008601C4">
            <w:pPr>
              <w:spacing w:after="120"/>
              <w:jc w:val="both"/>
              <w:rPr>
                <w:rFonts w:ascii="Times New Roman" w:hAnsi="Times New Roman" w:cs="Times New Roman"/>
                <w:b/>
              </w:rPr>
            </w:pPr>
            <w:r>
              <w:rPr>
                <w:rFonts w:ascii="Times New Roman" w:hAnsi="Times New Roman" w:cs="Times New Roman"/>
                <w:b/>
              </w:rPr>
              <w:t>Semestre:</w:t>
            </w:r>
            <w:r w:rsidR="008D79A7">
              <w:rPr>
                <w:rFonts w:ascii="Times New Roman" w:hAnsi="Times New Roman" w:cs="Times New Roman"/>
                <w:b/>
              </w:rPr>
              <w:t xml:space="preserve"> </w:t>
            </w:r>
            <w:r w:rsidR="008D79A7" w:rsidRPr="00434743">
              <w:rPr>
                <w:rFonts w:ascii="Times New Roman" w:hAnsi="Times New Roman" w:cs="Times New Roman"/>
              </w:rPr>
              <w:t>Primer semestre</w:t>
            </w:r>
            <w:bookmarkStart w:id="0" w:name="_GoBack"/>
            <w:bookmarkEnd w:id="0"/>
          </w:p>
        </w:tc>
      </w:tr>
    </w:tbl>
    <w:p w:rsidR="00525BFE" w:rsidRPr="005401E3"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rPr>
          <w:trHeight w:val="265"/>
        </w:trPr>
        <w:tc>
          <w:tcPr>
            <w:tcW w:w="5000" w:type="pct"/>
          </w:tcPr>
          <w:p w:rsidR="00525BFE" w:rsidRDefault="00525BFE" w:rsidP="008601C4">
            <w:pPr>
              <w:spacing w:after="120"/>
              <w:jc w:val="both"/>
              <w:rPr>
                <w:rFonts w:ascii="Times New Roman" w:hAnsi="Times New Roman" w:cs="Times New Roman"/>
                <w:b/>
              </w:rPr>
            </w:pPr>
            <w:r>
              <w:rPr>
                <w:rFonts w:ascii="Times New Roman" w:hAnsi="Times New Roman" w:cs="Times New Roman"/>
                <w:b/>
              </w:rPr>
              <w:t>Nombre del p</w:t>
            </w:r>
            <w:r w:rsidRPr="00F73B59">
              <w:rPr>
                <w:rFonts w:ascii="Times New Roman" w:hAnsi="Times New Roman" w:cs="Times New Roman"/>
                <w:b/>
              </w:rPr>
              <w:t>rofesor</w:t>
            </w:r>
            <w:r>
              <w:rPr>
                <w:rFonts w:ascii="Times New Roman" w:hAnsi="Times New Roman" w:cs="Times New Roman"/>
                <w:b/>
              </w:rPr>
              <w:t>/a</w:t>
            </w:r>
            <w:r w:rsidRPr="00F73B59">
              <w:rPr>
                <w:rFonts w:ascii="Times New Roman" w:hAnsi="Times New Roman" w:cs="Times New Roman"/>
                <w:b/>
              </w:rPr>
              <w:t>:</w:t>
            </w:r>
          </w:p>
          <w:p w:rsidR="00FE05DB" w:rsidRPr="00FE05DB" w:rsidRDefault="00FE05DB" w:rsidP="008601C4">
            <w:pPr>
              <w:spacing w:after="120"/>
              <w:jc w:val="both"/>
              <w:rPr>
                <w:rFonts w:ascii="Times New Roman" w:hAnsi="Times New Roman" w:cs="Times New Roman"/>
              </w:rPr>
            </w:pPr>
            <w:r w:rsidRPr="00FE05DB">
              <w:rPr>
                <w:rFonts w:ascii="Times New Roman" w:hAnsi="Times New Roman" w:cs="Times New Roman"/>
              </w:rPr>
              <w:t xml:space="preserve">Gabriel </w:t>
            </w:r>
            <w:proofErr w:type="spellStart"/>
            <w:r w:rsidRPr="00FE05DB">
              <w:rPr>
                <w:rFonts w:ascii="Times New Roman" w:hAnsi="Times New Roman" w:cs="Times New Roman"/>
              </w:rPr>
              <w:t>Zaliaznik</w:t>
            </w:r>
            <w:proofErr w:type="spellEnd"/>
            <w:r w:rsidRPr="00FE05DB">
              <w:rPr>
                <w:rFonts w:ascii="Times New Roman" w:hAnsi="Times New Roman" w:cs="Times New Roman"/>
              </w:rPr>
              <w:t xml:space="preserve"> </w:t>
            </w:r>
            <w:proofErr w:type="spellStart"/>
            <w:r w:rsidRPr="00FE05DB">
              <w:rPr>
                <w:rFonts w:ascii="Times New Roman" w:hAnsi="Times New Roman" w:cs="Times New Roman"/>
              </w:rPr>
              <w:t>Schilkrut</w:t>
            </w:r>
            <w:proofErr w:type="spellEnd"/>
            <w:r>
              <w:rPr>
                <w:rFonts w:ascii="Times New Roman" w:hAnsi="Times New Roman" w:cs="Times New Roman"/>
              </w:rPr>
              <w:t>: 3 horas</w:t>
            </w:r>
          </w:p>
          <w:p w:rsidR="00FE05DB" w:rsidRPr="00FE05DB" w:rsidRDefault="00FE05DB" w:rsidP="008601C4">
            <w:pPr>
              <w:spacing w:after="120"/>
              <w:jc w:val="both"/>
              <w:rPr>
                <w:rFonts w:ascii="Times New Roman" w:hAnsi="Times New Roman" w:cs="Times New Roman"/>
              </w:rPr>
            </w:pPr>
            <w:r w:rsidRPr="00FE05DB">
              <w:rPr>
                <w:rFonts w:ascii="Times New Roman" w:hAnsi="Times New Roman" w:cs="Times New Roman"/>
              </w:rPr>
              <w:t>Germán Ovalle Madrid</w:t>
            </w:r>
            <w:r>
              <w:rPr>
                <w:rFonts w:ascii="Times New Roman" w:hAnsi="Times New Roman" w:cs="Times New Roman"/>
              </w:rPr>
              <w:t>: 5 horas</w:t>
            </w:r>
          </w:p>
          <w:p w:rsidR="00FE05DB" w:rsidRDefault="00FE05DB" w:rsidP="008601C4">
            <w:pPr>
              <w:spacing w:after="120"/>
              <w:jc w:val="both"/>
              <w:rPr>
                <w:rFonts w:ascii="Times New Roman" w:hAnsi="Times New Roman" w:cs="Times New Roman"/>
              </w:rPr>
            </w:pPr>
            <w:r w:rsidRPr="00FE05DB">
              <w:rPr>
                <w:rFonts w:ascii="Times New Roman" w:hAnsi="Times New Roman" w:cs="Times New Roman"/>
              </w:rPr>
              <w:t xml:space="preserve">Jaime Winter </w:t>
            </w:r>
            <w:proofErr w:type="spellStart"/>
            <w:r w:rsidRPr="00FE05DB">
              <w:rPr>
                <w:rFonts w:ascii="Times New Roman" w:hAnsi="Times New Roman" w:cs="Times New Roman"/>
              </w:rPr>
              <w:t>Etcheberry</w:t>
            </w:r>
            <w:proofErr w:type="spellEnd"/>
            <w:r>
              <w:rPr>
                <w:rFonts w:ascii="Times New Roman" w:hAnsi="Times New Roman" w:cs="Times New Roman"/>
              </w:rPr>
              <w:t>:</w:t>
            </w:r>
            <w:r w:rsidR="004130FE">
              <w:rPr>
                <w:rFonts w:ascii="Times New Roman" w:hAnsi="Times New Roman" w:cs="Times New Roman"/>
              </w:rPr>
              <w:t xml:space="preserve"> 5 horas</w:t>
            </w:r>
          </w:p>
          <w:p w:rsidR="00FE05DB" w:rsidRPr="00FE05DB" w:rsidRDefault="00FE05DB" w:rsidP="008601C4">
            <w:pPr>
              <w:spacing w:after="120"/>
              <w:jc w:val="both"/>
              <w:rPr>
                <w:rFonts w:ascii="Times New Roman" w:hAnsi="Times New Roman" w:cs="Times New Roman"/>
              </w:rPr>
            </w:pPr>
            <w:r w:rsidRPr="00FE05DB">
              <w:rPr>
                <w:rFonts w:ascii="Times New Roman" w:hAnsi="Times New Roman" w:cs="Times New Roman"/>
              </w:rPr>
              <w:t>Fernando Londoño Martínez</w:t>
            </w:r>
            <w:r w:rsidR="004130FE">
              <w:rPr>
                <w:rFonts w:ascii="Times New Roman" w:hAnsi="Times New Roman" w:cs="Times New Roman"/>
              </w:rPr>
              <w:t>: 8 horas</w:t>
            </w:r>
          </w:p>
          <w:p w:rsidR="00525BFE" w:rsidRPr="00202434" w:rsidRDefault="00FE05DB" w:rsidP="008601C4">
            <w:pPr>
              <w:spacing w:after="120"/>
              <w:jc w:val="both"/>
              <w:rPr>
                <w:rFonts w:ascii="Times New Roman" w:hAnsi="Times New Roman" w:cs="Times New Roman"/>
              </w:rPr>
            </w:pPr>
            <w:r w:rsidRPr="00FE05DB">
              <w:rPr>
                <w:rFonts w:ascii="Times New Roman" w:hAnsi="Times New Roman" w:cs="Times New Roman"/>
              </w:rPr>
              <w:t xml:space="preserve">Alex Van </w:t>
            </w:r>
            <w:proofErr w:type="spellStart"/>
            <w:r w:rsidRPr="00FE05DB">
              <w:rPr>
                <w:rFonts w:ascii="Times New Roman" w:hAnsi="Times New Roman" w:cs="Times New Roman"/>
              </w:rPr>
              <w:t>Weezel</w:t>
            </w:r>
            <w:proofErr w:type="spellEnd"/>
            <w:r w:rsidR="004130FE">
              <w:rPr>
                <w:rFonts w:ascii="Times New Roman" w:hAnsi="Times New Roman" w:cs="Times New Roman"/>
              </w:rPr>
              <w:t>: 3 horas</w:t>
            </w:r>
          </w:p>
        </w:tc>
      </w:tr>
    </w:tbl>
    <w:p w:rsidR="00525BFE" w:rsidRPr="005401E3"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8D79A7" w:rsidRPr="005401E3" w:rsidTr="004A63C0">
        <w:trPr>
          <w:trHeight w:val="312"/>
        </w:trPr>
        <w:tc>
          <w:tcPr>
            <w:tcW w:w="5000" w:type="pct"/>
          </w:tcPr>
          <w:p w:rsidR="008D79A7" w:rsidRPr="00EE6BFB" w:rsidRDefault="008D79A7" w:rsidP="008601C4">
            <w:pPr>
              <w:spacing w:after="120"/>
              <w:ind w:right="3152"/>
              <w:jc w:val="both"/>
              <w:rPr>
                <w:rFonts w:ascii="Times New Roman" w:hAnsi="Times New Roman" w:cs="Times New Roman"/>
                <w:b/>
              </w:rPr>
            </w:pPr>
            <w:r w:rsidRPr="00F73B59">
              <w:rPr>
                <w:rFonts w:ascii="Times New Roman" w:hAnsi="Times New Roman" w:cs="Times New Roman"/>
                <w:b/>
              </w:rPr>
              <w:t>Número de créditos</w:t>
            </w:r>
            <w:r>
              <w:rPr>
                <w:rFonts w:ascii="Times New Roman" w:hAnsi="Times New Roman" w:cs="Times New Roman"/>
                <w:b/>
              </w:rPr>
              <w:t xml:space="preserve"> </w:t>
            </w:r>
            <w:r w:rsidRPr="00202434">
              <w:rPr>
                <w:rFonts w:ascii="Times New Roman" w:hAnsi="Times New Roman" w:cs="Times New Roman"/>
              </w:rPr>
              <w:t>(según reglamento)</w:t>
            </w:r>
            <w:r w:rsidRPr="00B10341">
              <w:rPr>
                <w:rFonts w:ascii="Times New Roman" w:hAnsi="Times New Roman" w:cs="Times New Roman"/>
              </w:rPr>
              <w:t>: 10</w:t>
            </w:r>
          </w:p>
        </w:tc>
      </w:tr>
    </w:tbl>
    <w:p w:rsidR="008D79A7" w:rsidRPr="005401E3" w:rsidRDefault="008D79A7"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8D79A7" w:rsidRPr="005401E3" w:rsidTr="004A63C0">
        <w:trPr>
          <w:trHeight w:val="418"/>
        </w:trPr>
        <w:tc>
          <w:tcPr>
            <w:tcW w:w="5000" w:type="pct"/>
          </w:tcPr>
          <w:p w:rsidR="008D79A7" w:rsidRPr="00EE6BFB" w:rsidRDefault="008D79A7" w:rsidP="008601C4">
            <w:pPr>
              <w:spacing w:after="120"/>
              <w:rPr>
                <w:rFonts w:ascii="Times New Roman" w:hAnsi="Times New Roman" w:cs="Times New Roman"/>
                <w:b/>
              </w:rPr>
            </w:pPr>
            <w:r>
              <w:rPr>
                <w:rFonts w:ascii="Times New Roman" w:hAnsi="Times New Roman" w:cs="Times New Roman"/>
                <w:b/>
              </w:rPr>
              <w:t xml:space="preserve">Curso/taller/seminario obligatorio o electivo: </w:t>
            </w:r>
            <w:r w:rsidRPr="00B10341">
              <w:rPr>
                <w:rFonts w:ascii="Times New Roman" w:hAnsi="Times New Roman" w:cs="Times New Roman"/>
              </w:rPr>
              <w:t>obligatorio</w:t>
            </w:r>
            <w:r>
              <w:rPr>
                <w:rFonts w:ascii="Times New Roman" w:hAnsi="Times New Roman" w:cs="Times New Roman"/>
              </w:rPr>
              <w:t xml:space="preserve">. </w:t>
            </w:r>
          </w:p>
        </w:tc>
      </w:tr>
    </w:tbl>
    <w:p w:rsidR="008D79A7" w:rsidRDefault="008D79A7"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8D79A7" w:rsidRPr="005401E3" w:rsidTr="004A63C0">
        <w:trPr>
          <w:trHeight w:val="418"/>
        </w:trPr>
        <w:tc>
          <w:tcPr>
            <w:tcW w:w="5000" w:type="pct"/>
          </w:tcPr>
          <w:p w:rsidR="008D79A7" w:rsidRPr="00B10341" w:rsidRDefault="008D79A7" w:rsidP="008601C4">
            <w:pPr>
              <w:spacing w:after="120"/>
              <w:rPr>
                <w:rFonts w:ascii="Times New Roman" w:hAnsi="Times New Roman" w:cs="Times New Roman"/>
              </w:rPr>
            </w:pPr>
            <w:r>
              <w:rPr>
                <w:rFonts w:ascii="Times New Roman" w:hAnsi="Times New Roman" w:cs="Times New Roman"/>
                <w:b/>
              </w:rPr>
              <w:lastRenderedPageBreak/>
              <w:t xml:space="preserve">Horario: </w:t>
            </w:r>
            <w:r>
              <w:rPr>
                <w:rFonts w:ascii="Times New Roman" w:hAnsi="Times New Roman" w:cs="Times New Roman"/>
              </w:rPr>
              <w:t xml:space="preserve">Viernes de 18:30 a 21:30 y Sábado de 9:00 a 14:00. </w:t>
            </w:r>
          </w:p>
        </w:tc>
      </w:tr>
    </w:tbl>
    <w:p w:rsidR="008D79A7" w:rsidRDefault="008D79A7"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8D79A7" w:rsidRPr="005401E3" w:rsidTr="004A63C0">
        <w:trPr>
          <w:trHeight w:val="418"/>
        </w:trPr>
        <w:tc>
          <w:tcPr>
            <w:tcW w:w="5000" w:type="pct"/>
          </w:tcPr>
          <w:p w:rsidR="008D79A7" w:rsidRPr="00EE6BFB" w:rsidRDefault="008D79A7" w:rsidP="008601C4">
            <w:pPr>
              <w:spacing w:after="120"/>
              <w:rPr>
                <w:rFonts w:ascii="Times New Roman" w:hAnsi="Times New Roman" w:cs="Times New Roman"/>
                <w:b/>
              </w:rPr>
            </w:pPr>
            <w:r>
              <w:rPr>
                <w:rFonts w:ascii="Times New Roman" w:hAnsi="Times New Roman" w:cs="Times New Roman"/>
                <w:b/>
              </w:rPr>
              <w:t xml:space="preserve">Régimen de asistencia: </w:t>
            </w:r>
            <w:r w:rsidRPr="00B10341">
              <w:rPr>
                <w:rFonts w:ascii="Times New Roman" w:hAnsi="Times New Roman" w:cs="Times New Roman"/>
              </w:rPr>
              <w:t>75%</w:t>
            </w:r>
          </w:p>
        </w:tc>
      </w:tr>
    </w:tbl>
    <w:p w:rsidR="00525BFE"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rPr>
          <w:trHeight w:val="2063"/>
        </w:trPr>
        <w:tc>
          <w:tcPr>
            <w:tcW w:w="5000" w:type="pct"/>
          </w:tcPr>
          <w:p w:rsidR="00525BFE" w:rsidRPr="005401E3" w:rsidRDefault="00525BFE" w:rsidP="008601C4">
            <w:pPr>
              <w:spacing w:after="120"/>
              <w:rPr>
                <w:rFonts w:ascii="Times New Roman" w:hAnsi="Times New Roman" w:cs="Times New Roman"/>
                <w:b/>
              </w:rPr>
            </w:pPr>
            <w:r>
              <w:rPr>
                <w:rFonts w:ascii="Times New Roman" w:hAnsi="Times New Roman" w:cs="Times New Roman"/>
                <w:b/>
              </w:rPr>
              <w:t>Breve d</w:t>
            </w:r>
            <w:r w:rsidRPr="005401E3">
              <w:rPr>
                <w:rFonts w:ascii="Times New Roman" w:hAnsi="Times New Roman" w:cs="Times New Roman"/>
                <w:b/>
              </w:rPr>
              <w:t>escripción del curso</w:t>
            </w:r>
            <w:r>
              <w:rPr>
                <w:rFonts w:ascii="Times New Roman" w:hAnsi="Times New Roman" w:cs="Times New Roman"/>
                <w:b/>
              </w:rPr>
              <w:t>/taller/seminario:</w:t>
            </w:r>
          </w:p>
          <w:p w:rsidR="00525BFE"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El curso continúa el análisis de grupos de delitos contra bienes jurídicos colectivos que se encuentran tipificados en nuestro ordenamiento jurídico, específicamente respecto de delitos que se caracterizan como económicos, pero que no atentan directamente contra el patrimonio de una persona sino contra el sistema en su conjunto. En primer lugar, se revisa el grupo de delitos tributarios enfocándose en la evasión del impuesto de primera categoría y del IVA. Posteriormente, se examinará el delito de lavado de activos que ha adquirido relevancia como una herramienta contra el combate al narcotráfico y al crimen organizado. El segundo módulo apuntará a los delitos societarios y contra el mercado financiero como una forma paradigmática de los “delitos de cuello y corbata” y que atacan los consensos mínimos en una economía moderna. Finalmente, los delitos de falsedad afectan directamente la fe pública, pero también causan menoscabo en el patrimonio público y privado.</w:t>
            </w:r>
          </w:p>
        </w:tc>
      </w:tr>
    </w:tbl>
    <w:p w:rsidR="00525BFE" w:rsidRPr="005401E3" w:rsidRDefault="00525BFE" w:rsidP="008601C4">
      <w:pPr>
        <w:spacing w:after="1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8"/>
      </w:tblGrid>
      <w:tr w:rsidR="00525BFE" w:rsidRPr="005401E3" w:rsidTr="00525BFE">
        <w:tc>
          <w:tcPr>
            <w:tcW w:w="13008" w:type="dxa"/>
          </w:tcPr>
          <w:p w:rsidR="00525BFE" w:rsidRPr="005A4C36" w:rsidRDefault="00525BFE" w:rsidP="008601C4">
            <w:pPr>
              <w:spacing w:after="120"/>
              <w:rPr>
                <w:rFonts w:ascii="Times New Roman" w:hAnsi="Times New Roman" w:cs="Times New Roman"/>
                <w:b/>
              </w:rPr>
            </w:pPr>
            <w:r w:rsidRPr="005A4C36">
              <w:rPr>
                <w:rFonts w:ascii="Times New Roman" w:hAnsi="Times New Roman" w:cs="Times New Roman"/>
                <w:b/>
              </w:rPr>
              <w:t>Explique los objetivos generales y específicos del curso</w:t>
            </w:r>
            <w:r>
              <w:rPr>
                <w:rFonts w:ascii="Times New Roman" w:hAnsi="Times New Roman" w:cs="Times New Roman"/>
                <w:b/>
              </w:rPr>
              <w:t>/taller/seminario:</w:t>
            </w:r>
          </w:p>
          <w:p w:rsidR="00525BFE" w:rsidRDefault="00525BFE" w:rsidP="008601C4">
            <w:pPr>
              <w:spacing w:after="120"/>
              <w:rPr>
                <w:rFonts w:ascii="Times New Roman" w:hAnsi="Times New Roman" w:cs="Times New Roman"/>
                <w:b/>
              </w:rPr>
            </w:pPr>
            <w:r>
              <w:rPr>
                <w:rFonts w:ascii="Times New Roman" w:hAnsi="Times New Roman" w:cs="Times New Roman"/>
                <w:b/>
              </w:rPr>
              <w:t>Objetivos generales:</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1. Introducir al estudiante al sistema tributario chileno y analizar los principales delitos que atentan en su contra.</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2. Analizar críticamente el delito de lavado de activos y su relevancia en la persecución de otros delitos.</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3. Revisar los delitos societarios y contra el mercado financiero en el ordenamiento chileno y compararlos con la evolución legislativa comparada.</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4. Examinar dogmáticamente el sistema de delitos de falsedad.</w:t>
            </w:r>
          </w:p>
          <w:p w:rsidR="00525BFE" w:rsidRDefault="00525BFE" w:rsidP="008601C4">
            <w:pPr>
              <w:spacing w:after="120"/>
              <w:rPr>
                <w:rFonts w:ascii="Times New Roman" w:hAnsi="Times New Roman" w:cs="Times New Roman"/>
                <w:b/>
              </w:rPr>
            </w:pPr>
            <w:r w:rsidRPr="005401E3">
              <w:rPr>
                <w:rFonts w:ascii="Times New Roman" w:hAnsi="Times New Roman" w:cs="Times New Roman"/>
                <w:b/>
              </w:rPr>
              <w:t>Objet</w:t>
            </w:r>
            <w:r>
              <w:rPr>
                <w:rFonts w:ascii="Times New Roman" w:hAnsi="Times New Roman" w:cs="Times New Roman"/>
                <w:b/>
              </w:rPr>
              <w:t>ivos específicos:</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1.1. Exponer el sistema tributario chileno para que el estudiante entienda adecuadamente cuál es el objeto de ataque específico de los delitos tributarios.</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lastRenderedPageBreak/>
              <w:t>1.2. Analizar las diversas teorías sobre el bien jurídico protegido por los delitos tributarios ya sea desde un punto de vista meramente patrimonial ya sea desde un punto de vista institucional.</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1.3. Examinar las particularidades de la teoría de delito del delito tributario, especialmente las cuestiones de imputación subjetiva (error) y culpabilidad.</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2.1. Revisar la regulación internacional sobre lavado de activos y cuáles son los mecanismos que se han emprendido para combatirlo.</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2.2. Estudiar el delito de lavado de activos en el ordenamiento chileno respecto tanto de los elementos específicos del delito como de las relaciones concursales que se dan con otros delitos.</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3.1. Examinar en qué consiste un mercado de valores y cuáles son los principales actores que intervienen en su seno.</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3.2. Comparar los diversos modelos de mercado de valores que se dan en el derecho comparado (principalmente, estadounidense y europeo).</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3.3. Analizar los delitos que atentan contra el mercado financiero en la Ley de Mercado de Valores, en especial las diferentes formas de manipulación bursátil y uso de información privilegiada.</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3.4. Revisar algunos casos reales de comisión de delitos que ejemplifican algunos problemas del modelo y que han provocado cambios en la regulación.</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4.1. Examinar en detalle el objeto de protección de los delitos de falsedad.</w:t>
            </w:r>
          </w:p>
          <w:p w:rsidR="004A63C0"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4.2. Estudiar los diversos tipos que “falsedad” que la doctrina ha identificado de manera teórica (falsedad material, falsedad ideológica, falsedad ontológica) y cómo se concretan en los delitos correspondientes.</w:t>
            </w:r>
          </w:p>
          <w:p w:rsidR="00525BFE" w:rsidRPr="004A63C0" w:rsidRDefault="004A63C0" w:rsidP="008601C4">
            <w:pPr>
              <w:spacing w:after="120"/>
              <w:jc w:val="both"/>
              <w:rPr>
                <w:rFonts w:ascii="Times New Roman" w:hAnsi="Times New Roman" w:cs="Times New Roman"/>
                <w:lang w:val="es-ES"/>
              </w:rPr>
            </w:pPr>
            <w:r w:rsidRPr="004A63C0">
              <w:rPr>
                <w:rFonts w:ascii="Times New Roman" w:hAnsi="Times New Roman" w:cs="Times New Roman"/>
                <w:lang w:val="es-ES"/>
              </w:rPr>
              <w:t>4.3. Realizar una reconstrucción de la regulación legal respecto a los delitos de falsificación de instrumento público, falsificación de instrumento privado y uso malicioso de los mismos.</w:t>
            </w:r>
          </w:p>
        </w:tc>
      </w:tr>
    </w:tbl>
    <w:p w:rsidR="00525BFE" w:rsidRPr="005401E3"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c>
          <w:tcPr>
            <w:tcW w:w="5000" w:type="pct"/>
          </w:tcPr>
          <w:p w:rsidR="00525BFE" w:rsidRPr="005A4C36" w:rsidRDefault="00525BFE" w:rsidP="008601C4">
            <w:pPr>
              <w:spacing w:after="120"/>
              <w:jc w:val="both"/>
              <w:rPr>
                <w:rFonts w:ascii="Times New Roman" w:hAnsi="Times New Roman" w:cs="Times New Roman"/>
                <w:b/>
              </w:rPr>
            </w:pPr>
            <w:r w:rsidRPr="005A4C36">
              <w:rPr>
                <w:rFonts w:ascii="Times New Roman" w:hAnsi="Times New Roman" w:cs="Times New Roman"/>
                <w:b/>
              </w:rPr>
              <w:t>En relación a la contribución del curso</w:t>
            </w:r>
            <w:r>
              <w:rPr>
                <w:rFonts w:ascii="Times New Roman" w:hAnsi="Times New Roman" w:cs="Times New Roman"/>
                <w:b/>
              </w:rPr>
              <w:t>/taller/seminario</w:t>
            </w:r>
            <w:r w:rsidRPr="005A4C36">
              <w:rPr>
                <w:rFonts w:ascii="Times New Roman" w:hAnsi="Times New Roman" w:cs="Times New Roman"/>
                <w:b/>
              </w:rPr>
              <w:t xml:space="preserve"> a los conocimientos, habilidades y destrezas de los estudiantes egresados, seleccione las alternativas que le parezcan correctas:</w:t>
            </w:r>
            <w:r>
              <w:rPr>
                <w:rFonts w:ascii="Times New Roman" w:hAnsi="Times New Roman" w:cs="Times New Roman"/>
                <w:b/>
              </w:rPr>
              <w:t xml:space="preserve"> </w:t>
            </w:r>
            <w:r w:rsidRPr="00FC4334">
              <w:rPr>
                <w:rFonts w:ascii="Times New Roman" w:hAnsi="Times New Roman" w:cs="Times New Roman"/>
                <w:b/>
              </w:rPr>
              <w:t>(cada programa podría modificar esta parte teniendo a la vista su perfil de egreso)</w:t>
            </w:r>
          </w:p>
          <w:p w:rsidR="00525BFE" w:rsidRPr="00202434" w:rsidRDefault="00525BFE" w:rsidP="008601C4">
            <w:pPr>
              <w:spacing w:after="120"/>
              <w:rPr>
                <w:rFonts w:ascii="Times New Roman" w:hAnsi="Times New Roman" w:cs="Times New Roman"/>
              </w:rPr>
            </w:pPr>
            <w:r w:rsidRPr="005A4C36">
              <w:rPr>
                <w:rFonts w:ascii="Times New Roman" w:hAnsi="Times New Roman" w:cs="Times New Roman"/>
              </w:rPr>
              <w:t>El curso</w:t>
            </w:r>
            <w:r>
              <w:rPr>
                <w:rFonts w:ascii="Times New Roman" w:hAnsi="Times New Roman" w:cs="Times New Roman"/>
              </w:rPr>
              <w:t>/taller/seminario</w:t>
            </w:r>
            <w:r w:rsidRPr="005A4C36">
              <w:rPr>
                <w:rFonts w:ascii="Times New Roman" w:hAnsi="Times New Roman" w:cs="Times New Roman"/>
              </w:rPr>
              <w:t xml:space="preserve"> que usted imparte:</w:t>
            </w:r>
          </w:p>
          <w:p w:rsidR="00525BFE" w:rsidRPr="005401E3" w:rsidRDefault="00525BFE" w:rsidP="008601C4">
            <w:pPr>
              <w:numPr>
                <w:ilvl w:val="0"/>
                <w:numId w:val="25"/>
              </w:numPr>
              <w:spacing w:after="120" w:line="240" w:lineRule="auto"/>
              <w:jc w:val="both"/>
              <w:rPr>
                <w:rFonts w:ascii="Times New Roman" w:hAnsi="Times New Roman" w:cs="Times New Roman"/>
              </w:rPr>
            </w:pPr>
            <w:r w:rsidRPr="005401E3">
              <w:rPr>
                <w:rFonts w:ascii="Times New Roman" w:hAnsi="Times New Roman" w:cs="Times New Roman"/>
              </w:rPr>
              <w:t xml:space="preserve">Colabora a que los estudiantes, una vez egresados, presten asesoría especializada a personas individuales para la solución de problemas </w:t>
            </w:r>
            <w:r w:rsidRPr="005401E3">
              <w:rPr>
                <w:rFonts w:ascii="Times New Roman" w:hAnsi="Times New Roman" w:cs="Times New Roman"/>
              </w:rPr>
              <w:lastRenderedPageBreak/>
              <w:t>jurídicos concretos.</w:t>
            </w:r>
          </w:p>
          <w:p w:rsidR="00525BFE" w:rsidRPr="005401E3" w:rsidRDefault="00525BFE" w:rsidP="008601C4">
            <w:pPr>
              <w:numPr>
                <w:ilvl w:val="0"/>
                <w:numId w:val="25"/>
              </w:numPr>
              <w:spacing w:after="120" w:line="240" w:lineRule="auto"/>
              <w:jc w:val="both"/>
              <w:rPr>
                <w:rFonts w:ascii="Times New Roman" w:hAnsi="Times New Roman" w:cs="Times New Roman"/>
              </w:rPr>
            </w:pPr>
            <w:r w:rsidRPr="005401E3">
              <w:rPr>
                <w:rFonts w:ascii="Times New Roman" w:hAnsi="Times New Roman" w:cs="Times New Roman"/>
              </w:rPr>
              <w:t>Colabora a que los estudiantes una vez egresados presten asesoría especializada a empresas para la solución de problemas jurídicos concretos.</w:t>
            </w:r>
          </w:p>
          <w:p w:rsidR="00525BFE" w:rsidRPr="004A63C0" w:rsidRDefault="00525BFE" w:rsidP="008601C4">
            <w:pPr>
              <w:numPr>
                <w:ilvl w:val="0"/>
                <w:numId w:val="25"/>
              </w:numPr>
              <w:spacing w:after="120" w:line="240" w:lineRule="auto"/>
              <w:jc w:val="both"/>
              <w:rPr>
                <w:rFonts w:ascii="Times New Roman" w:hAnsi="Times New Roman" w:cs="Times New Roman"/>
              </w:rPr>
            </w:pPr>
            <w:r w:rsidRPr="005401E3">
              <w:rPr>
                <w:rFonts w:ascii="Times New Roman" w:hAnsi="Times New Roman" w:cs="Times New Roman"/>
              </w:rPr>
              <w:t>Colabora a que los estudiantes una vez egresados presten asesoría especializada a organismos estatales para la solución de problemas jurídicos concretos.</w:t>
            </w:r>
          </w:p>
        </w:tc>
      </w:tr>
    </w:tbl>
    <w:p w:rsidR="00525BFE" w:rsidRPr="005401E3"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c>
          <w:tcPr>
            <w:tcW w:w="5000" w:type="pct"/>
          </w:tcPr>
          <w:p w:rsidR="00525BFE" w:rsidRPr="005401E3" w:rsidRDefault="00525BFE" w:rsidP="008601C4">
            <w:pPr>
              <w:spacing w:after="120"/>
              <w:rPr>
                <w:rFonts w:ascii="Times New Roman" w:hAnsi="Times New Roman" w:cs="Times New Roman"/>
                <w:b/>
              </w:rPr>
            </w:pPr>
            <w:r w:rsidRPr="005401E3">
              <w:rPr>
                <w:rFonts w:ascii="Times New Roman" w:hAnsi="Times New Roman" w:cs="Times New Roman"/>
                <w:b/>
              </w:rPr>
              <w:t>Seleccione una o varias de las metodologías utilizadas por usted en el curso</w:t>
            </w:r>
            <w:r>
              <w:rPr>
                <w:rFonts w:ascii="Times New Roman" w:hAnsi="Times New Roman" w:cs="Times New Roman"/>
                <w:b/>
              </w:rPr>
              <w:t>/taller/seminario</w:t>
            </w:r>
            <w:r w:rsidRPr="005401E3">
              <w:rPr>
                <w:rFonts w:ascii="Times New Roman" w:hAnsi="Times New Roman" w:cs="Times New Roman"/>
                <w:b/>
              </w:rPr>
              <w:t xml:space="preserve">: </w:t>
            </w:r>
          </w:p>
          <w:p w:rsidR="00DE6665" w:rsidRDefault="004A63C0" w:rsidP="00DE6665">
            <w:pPr>
              <w:spacing w:after="120" w:line="240" w:lineRule="auto"/>
              <w:ind w:left="360"/>
              <w:rPr>
                <w:rFonts w:ascii="Times New Roman" w:hAnsi="Times New Roman" w:cs="Times New Roman"/>
              </w:rPr>
            </w:pPr>
            <w:r>
              <w:rPr>
                <w:rFonts w:ascii="Times New Roman" w:hAnsi="Times New Roman" w:cs="Times New Roman"/>
              </w:rPr>
              <w:t xml:space="preserve">1. </w:t>
            </w:r>
            <w:r w:rsidR="00525BFE" w:rsidRPr="005401E3">
              <w:rPr>
                <w:rFonts w:ascii="Times New Roman" w:hAnsi="Times New Roman" w:cs="Times New Roman"/>
              </w:rPr>
              <w:t>Clase expositiva dialogada en la que el docente expone la materia y los estudiantes activamente participan a través de preguntas.</w:t>
            </w:r>
          </w:p>
          <w:p w:rsidR="00DE6665" w:rsidRPr="004A63C0" w:rsidRDefault="00DE6665" w:rsidP="00DE6665">
            <w:pPr>
              <w:spacing w:after="120" w:line="240" w:lineRule="auto"/>
              <w:ind w:left="360"/>
              <w:rPr>
                <w:rFonts w:ascii="Times New Roman" w:hAnsi="Times New Roman" w:cs="Times New Roman"/>
              </w:rPr>
            </w:pPr>
            <w:r>
              <w:rPr>
                <w:rFonts w:ascii="Times New Roman" w:hAnsi="Times New Roman" w:cs="Times New Roman"/>
              </w:rPr>
              <w:t xml:space="preserve">2. </w:t>
            </w:r>
            <w:r w:rsidRPr="00DE6665">
              <w:rPr>
                <w:rFonts w:ascii="Times New Roman" w:hAnsi="Times New Roman" w:cs="Times New Roman"/>
              </w:rPr>
              <w:t>Elaboración de casos que serán resueltos por los estudiantes.</w:t>
            </w:r>
          </w:p>
        </w:tc>
      </w:tr>
    </w:tbl>
    <w:p w:rsidR="00525BFE" w:rsidRDefault="00525BFE" w:rsidP="008601C4">
      <w:pPr>
        <w:spacing w:after="120"/>
        <w:rPr>
          <w:rFonts w:ascii="Times New Roman" w:hAnsi="Times New Roman" w:cs="Times New Roman"/>
        </w:rPr>
      </w:pPr>
    </w:p>
    <w:p w:rsidR="00525BFE" w:rsidRPr="005401E3" w:rsidRDefault="00525BFE" w:rsidP="008601C4">
      <w:pPr>
        <w:spacing w:after="120"/>
        <w:rPr>
          <w:rFonts w:ascii="Times New Roman" w:hAnsi="Times New Roman" w:cs="Times New Roman"/>
        </w:rPr>
      </w:pPr>
    </w:p>
    <w:p w:rsidR="00525BFE" w:rsidRPr="005401E3" w:rsidRDefault="00525BFE" w:rsidP="008601C4">
      <w:pPr>
        <w:spacing w:after="120"/>
        <w:rPr>
          <w:rFonts w:ascii="Times New Roman" w:hAnsi="Times New Roman" w:cs="Times New Roman"/>
          <w:b/>
        </w:rPr>
      </w:pPr>
      <w:r>
        <w:rPr>
          <w:rFonts w:ascii="Times New Roman" w:hAnsi="Times New Roman" w:cs="Times New Roman"/>
          <w:b/>
        </w:rPr>
        <w:t>Unidades del Programa:</w:t>
      </w:r>
    </w:p>
    <w:p w:rsidR="00525BFE" w:rsidRPr="005401E3" w:rsidRDefault="00525BFE" w:rsidP="008601C4">
      <w:pPr>
        <w:spacing w:after="120"/>
        <w:rPr>
          <w:rFonts w:ascii="Times New Roman" w:hAnsi="Times New Roman" w:cs="Times New Roman"/>
        </w:rPr>
      </w:pPr>
      <w:r w:rsidRPr="005401E3">
        <w:rPr>
          <w:rFonts w:ascii="Times New Roman" w:hAnsi="Times New Roman" w:cs="Times New Roman"/>
        </w:rPr>
        <w:t>Explique los contenidos que tratará en el curso</w:t>
      </w:r>
      <w:r>
        <w:rPr>
          <w:rFonts w:ascii="Times New Roman" w:hAnsi="Times New Roman" w:cs="Times New Roman"/>
        </w:rPr>
        <w:t>/taller/seminario</w:t>
      </w:r>
      <w:r w:rsidRPr="005401E3">
        <w:rPr>
          <w:rFonts w:ascii="Times New Roman" w:hAnsi="Times New Roman" w:cs="Times New Roman"/>
        </w:rPr>
        <w:t>, organizándolos por unidades o grandes temas de acuerdo a un orden temporal.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083"/>
      </w:tblGrid>
      <w:tr w:rsidR="00525BFE" w:rsidRPr="005401E3" w:rsidTr="004A63C0">
        <w:tc>
          <w:tcPr>
            <w:tcW w:w="430" w:type="pct"/>
          </w:tcPr>
          <w:p w:rsidR="00525BFE" w:rsidRPr="005401E3" w:rsidRDefault="00525BFE" w:rsidP="008601C4">
            <w:pPr>
              <w:spacing w:after="120"/>
              <w:rPr>
                <w:rFonts w:ascii="Times New Roman" w:hAnsi="Times New Roman" w:cs="Times New Roman"/>
                <w:b/>
              </w:rPr>
            </w:pPr>
            <w:r w:rsidRPr="005401E3">
              <w:rPr>
                <w:rFonts w:ascii="Times New Roman" w:hAnsi="Times New Roman" w:cs="Times New Roman"/>
                <w:b/>
              </w:rPr>
              <w:t>Fecha</w:t>
            </w:r>
          </w:p>
        </w:tc>
        <w:tc>
          <w:tcPr>
            <w:tcW w:w="4570" w:type="pct"/>
          </w:tcPr>
          <w:p w:rsidR="00525BFE" w:rsidRPr="005401E3" w:rsidRDefault="00525BFE" w:rsidP="008601C4">
            <w:pPr>
              <w:spacing w:after="120"/>
              <w:rPr>
                <w:rFonts w:ascii="Times New Roman" w:hAnsi="Times New Roman" w:cs="Times New Roman"/>
                <w:b/>
              </w:rPr>
            </w:pPr>
            <w:r w:rsidRPr="005401E3">
              <w:rPr>
                <w:rFonts w:ascii="Times New Roman" w:hAnsi="Times New Roman" w:cs="Times New Roman"/>
                <w:b/>
              </w:rPr>
              <w:t>Contenido</w:t>
            </w:r>
          </w:p>
        </w:tc>
      </w:tr>
      <w:tr w:rsidR="00525BFE" w:rsidRPr="005401E3" w:rsidTr="004A63C0">
        <w:tc>
          <w:tcPr>
            <w:tcW w:w="430" w:type="pct"/>
          </w:tcPr>
          <w:p w:rsidR="00525BFE" w:rsidRPr="005401E3" w:rsidRDefault="004A63C0" w:rsidP="008601C4">
            <w:pPr>
              <w:spacing w:after="120"/>
              <w:rPr>
                <w:rFonts w:ascii="Times New Roman" w:hAnsi="Times New Roman" w:cs="Times New Roman"/>
              </w:rPr>
            </w:pPr>
            <w:r>
              <w:rPr>
                <w:rFonts w:ascii="Times New Roman" w:hAnsi="Times New Roman" w:cs="Times New Roman"/>
              </w:rPr>
              <w:t>20/04</w:t>
            </w:r>
          </w:p>
        </w:tc>
        <w:tc>
          <w:tcPr>
            <w:tcW w:w="4570" w:type="pct"/>
          </w:tcPr>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Delitos tributarios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1. Panorama general del sistema tributario chileno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2. El bien jurídico protegido por los delitos tributarios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3. Figuras que pueden constituir delitos según el Código Tributario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a. Maquinaciones fraudulentas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b. Quebrantamiento de sanciones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c. Actividad económica informal</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d. Abuso de beneficios tributarios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lastRenderedPageBreak/>
              <w:t>4. El delito tributario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a. Tipo objetivo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b. Tipo subjetivo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r>
            <w:r w:rsidRPr="004A63C0">
              <w:rPr>
                <w:rFonts w:ascii="Times New Roman" w:hAnsi="Times New Roman" w:cs="Times New Roman"/>
                <w:lang w:val="es-ES"/>
              </w:rPr>
              <w:tab/>
              <w:t>i. Dolo y malicia</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r>
            <w:r w:rsidRPr="004A63C0">
              <w:rPr>
                <w:rFonts w:ascii="Times New Roman" w:hAnsi="Times New Roman" w:cs="Times New Roman"/>
                <w:lang w:val="es-ES"/>
              </w:rPr>
              <w:tab/>
              <w:t>ii. “¿Malicia tributaria?”</w:t>
            </w:r>
            <w:r w:rsidRPr="004A63C0">
              <w:rPr>
                <w:rFonts w:ascii="Times New Roman" w:hAnsi="Times New Roman" w:cs="Times New Roman"/>
                <w:lang w:val="es-ES"/>
              </w:rPr>
              <w:tab/>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r>
            <w:r w:rsidRPr="004A63C0">
              <w:rPr>
                <w:rFonts w:ascii="Times New Roman" w:hAnsi="Times New Roman" w:cs="Times New Roman"/>
                <w:lang w:val="es-ES"/>
              </w:rPr>
              <w:tab/>
              <w:t>ii. El error en el Código Tributario (art. 110)</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c. ¿Fraude tributario? Los casos del art. 97 nº 4 y 5</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b/>
              <w:t>d. Antijuridicidad y conductas neutrales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5. Intervención delictiva en el delito tributario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6. Grados imperfectos de desarrollo del delito en ámbito tributario</w:t>
            </w:r>
          </w:p>
          <w:p w:rsidR="00525BFE" w:rsidRPr="004A63C0" w:rsidRDefault="00525BFE" w:rsidP="008601C4">
            <w:pPr>
              <w:spacing w:after="120"/>
              <w:rPr>
                <w:rFonts w:ascii="Times New Roman" w:hAnsi="Times New Roman" w:cs="Times New Roman"/>
                <w:lang w:val="es-ES"/>
              </w:rPr>
            </w:pPr>
          </w:p>
        </w:tc>
      </w:tr>
      <w:tr w:rsidR="00525BFE" w:rsidRPr="005401E3" w:rsidTr="004A63C0">
        <w:tc>
          <w:tcPr>
            <w:tcW w:w="430" w:type="pct"/>
          </w:tcPr>
          <w:p w:rsidR="00525BFE" w:rsidRPr="005401E3" w:rsidRDefault="00525BFE" w:rsidP="008601C4">
            <w:pPr>
              <w:spacing w:after="120"/>
              <w:rPr>
                <w:rFonts w:ascii="Times New Roman" w:hAnsi="Times New Roman" w:cs="Times New Roman"/>
              </w:rPr>
            </w:pPr>
            <w:r w:rsidRPr="005401E3">
              <w:rPr>
                <w:rFonts w:ascii="Times New Roman" w:hAnsi="Times New Roman" w:cs="Times New Roman"/>
              </w:rPr>
              <w:lastRenderedPageBreak/>
              <w:t>2</w:t>
            </w:r>
            <w:r w:rsidR="004A63C0">
              <w:rPr>
                <w:rFonts w:ascii="Times New Roman" w:hAnsi="Times New Roman" w:cs="Times New Roman"/>
              </w:rPr>
              <w:t>1/04</w:t>
            </w:r>
          </w:p>
        </w:tc>
        <w:tc>
          <w:tcPr>
            <w:tcW w:w="4570" w:type="pct"/>
          </w:tcPr>
          <w:p w:rsidR="00525BFE" w:rsidRDefault="004A63C0" w:rsidP="008601C4">
            <w:pPr>
              <w:spacing w:after="120"/>
              <w:rPr>
                <w:rFonts w:ascii="Times New Roman" w:hAnsi="Times New Roman" w:cs="Times New Roman"/>
              </w:rPr>
            </w:pPr>
            <w:r>
              <w:rPr>
                <w:rFonts w:ascii="Times New Roman" w:hAnsi="Times New Roman" w:cs="Times New Roman"/>
              </w:rPr>
              <w:t>Delitos de falsedad</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1. Del </w:t>
            </w:r>
            <w:proofErr w:type="spellStart"/>
            <w:r w:rsidRPr="004A63C0">
              <w:rPr>
                <w:rFonts w:ascii="Times New Roman" w:hAnsi="Times New Roman" w:cs="Times New Roman"/>
                <w:i/>
                <w:iCs/>
                <w:lang w:val="es-ES"/>
              </w:rPr>
              <w:t>falsum</w:t>
            </w:r>
            <w:proofErr w:type="spellEnd"/>
            <w:r w:rsidRPr="004A63C0">
              <w:rPr>
                <w:rFonts w:ascii="Times New Roman" w:hAnsi="Times New Roman" w:cs="Times New Roman"/>
                <w:i/>
                <w:iCs/>
                <w:lang w:val="es-ES"/>
              </w:rPr>
              <w:t xml:space="preserve"> </w:t>
            </w:r>
            <w:r w:rsidRPr="004A63C0">
              <w:rPr>
                <w:rFonts w:ascii="Times New Roman" w:hAnsi="Times New Roman" w:cs="Times New Roman"/>
                <w:lang w:val="es-ES"/>
              </w:rPr>
              <w:t xml:space="preserve">a la falsedad documental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2. La determinación del objeto de protección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a) ¿Fe pública como objeto de protección?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b) Las funciones del documento y el objeto de protección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3. El concepto de documento y el concepto de falsedad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a) La teoría del objeto y la teoría de la declaración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b) ¿Falsedad “material” versus falsedad “ideológica”?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c) Falsedad ontológica como falta de inautenticidad de la declaración </w:t>
            </w:r>
            <w:r w:rsidRPr="004A63C0">
              <w:rPr>
                <w:rFonts w:ascii="Times New Roman" w:hAnsi="Times New Roman" w:cs="Times New Roman"/>
                <w:i/>
                <w:iCs/>
                <w:lang w:val="es-ES"/>
              </w:rPr>
              <w:t xml:space="preserve">versus </w:t>
            </w:r>
            <w:r w:rsidRPr="004A63C0">
              <w:rPr>
                <w:rFonts w:ascii="Times New Roman" w:hAnsi="Times New Roman" w:cs="Times New Roman"/>
                <w:lang w:val="es-ES"/>
              </w:rPr>
              <w:t xml:space="preserve">falsedad proposicional como falta de verdad de lo declarado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lastRenderedPageBreak/>
              <w:t xml:space="preserve">4. La reconstrucción de la regulación legal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a) Falsificación de instrumento público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b) Falsificación de instrumento privado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c) Uso malicioso de instrumento falso </w:t>
            </w:r>
          </w:p>
        </w:tc>
      </w:tr>
      <w:tr w:rsidR="00525BFE" w:rsidRPr="005401E3" w:rsidTr="004A63C0">
        <w:tc>
          <w:tcPr>
            <w:tcW w:w="430" w:type="pct"/>
          </w:tcPr>
          <w:p w:rsidR="00525BFE" w:rsidRPr="005401E3" w:rsidRDefault="004A63C0" w:rsidP="008601C4">
            <w:pPr>
              <w:spacing w:after="120"/>
              <w:rPr>
                <w:rFonts w:ascii="Times New Roman" w:hAnsi="Times New Roman" w:cs="Times New Roman"/>
              </w:rPr>
            </w:pPr>
            <w:r>
              <w:rPr>
                <w:rFonts w:ascii="Times New Roman" w:hAnsi="Times New Roman" w:cs="Times New Roman"/>
              </w:rPr>
              <w:lastRenderedPageBreak/>
              <w:t>04/05</w:t>
            </w:r>
          </w:p>
        </w:tc>
        <w:tc>
          <w:tcPr>
            <w:tcW w:w="4570" w:type="pct"/>
          </w:tcPr>
          <w:p w:rsidR="00525BFE" w:rsidRDefault="004A63C0" w:rsidP="008601C4">
            <w:pPr>
              <w:spacing w:after="120"/>
              <w:rPr>
                <w:rFonts w:ascii="Times New Roman" w:hAnsi="Times New Roman" w:cs="Times New Roman"/>
              </w:rPr>
            </w:pPr>
            <w:r>
              <w:rPr>
                <w:rFonts w:ascii="Times New Roman" w:hAnsi="Times New Roman" w:cs="Times New Roman"/>
              </w:rPr>
              <w:t>Delitos societarios y contra el mercado financiero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bCs/>
                <w:lang w:val="es-ES"/>
              </w:rPr>
              <w:t xml:space="preserve">Sección 1. </w:t>
            </w:r>
            <w:r w:rsidRPr="004A63C0">
              <w:rPr>
                <w:rFonts w:ascii="Times New Roman" w:hAnsi="Times New Roman" w:cs="Times New Roman"/>
                <w:lang w:val="es-ES"/>
              </w:rPr>
              <w:t>Parte General de la Parte Especial (aspectos generales relativos a los delitos de abuso de mercado de valores y delitos societarios)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  1. Taxonomía de un mercado de valores: racionalidad e intereses necesitados de tutela por el derecho en general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2. El valor de la información en el mercado. Eficiencia informativa y eficiencia distributiva.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3. Introducción a los abusos de mercado  (lesividad general)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4. Modelos legislativos y regulación comparada en materia de abusos de mercado (europea y de los EEUU, principalmente)</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5. El modelo de la ley 18.045 sobre Mercado de Valores (panorámica de los delitos contemplados en la ley 18.045)</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6. Diferencias entre un modelo de protección del mercado financiero o de valores y un modelo de protección de las minorías societarias </w:t>
            </w:r>
          </w:p>
        </w:tc>
      </w:tr>
      <w:tr w:rsidR="00525BFE" w:rsidRPr="005401E3" w:rsidTr="004A63C0">
        <w:tc>
          <w:tcPr>
            <w:tcW w:w="430" w:type="pct"/>
          </w:tcPr>
          <w:p w:rsidR="00525BFE" w:rsidRPr="005401E3" w:rsidRDefault="004A63C0" w:rsidP="008601C4">
            <w:pPr>
              <w:spacing w:after="120"/>
              <w:rPr>
                <w:rFonts w:ascii="Times New Roman" w:hAnsi="Times New Roman" w:cs="Times New Roman"/>
              </w:rPr>
            </w:pPr>
            <w:r>
              <w:rPr>
                <w:rFonts w:ascii="Times New Roman" w:hAnsi="Times New Roman" w:cs="Times New Roman"/>
              </w:rPr>
              <w:t>05/05</w:t>
            </w:r>
          </w:p>
        </w:tc>
        <w:tc>
          <w:tcPr>
            <w:tcW w:w="4570" w:type="pct"/>
          </w:tcPr>
          <w:p w:rsidR="00525BFE" w:rsidRDefault="004A63C0" w:rsidP="008601C4">
            <w:pPr>
              <w:spacing w:after="120"/>
              <w:rPr>
                <w:rFonts w:ascii="Times New Roman" w:hAnsi="Times New Roman" w:cs="Times New Roman"/>
              </w:rPr>
            </w:pPr>
            <w:r>
              <w:rPr>
                <w:rFonts w:ascii="Times New Roman" w:hAnsi="Times New Roman" w:cs="Times New Roman"/>
              </w:rPr>
              <w:t>Delitos societarios y contra el mercado financiero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Sección</w:t>
            </w:r>
            <w:r w:rsidRPr="004A63C0">
              <w:rPr>
                <w:rFonts w:ascii="Times New Roman" w:hAnsi="Times New Roman" w:cs="Times New Roman"/>
                <w:bCs/>
                <w:lang w:val="es-ES"/>
              </w:rPr>
              <w:t xml:space="preserve"> 2. </w:t>
            </w:r>
            <w:r w:rsidRPr="004A63C0">
              <w:rPr>
                <w:rFonts w:ascii="Times New Roman" w:hAnsi="Times New Roman" w:cs="Times New Roman"/>
                <w:lang w:val="es-ES"/>
              </w:rPr>
              <w:t>Parte Especial</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1. Manipulación bursátil (Manipulación de los precios de los títulos cotizados en Bolsa). Principales modalidades comisivas.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2. Falsedades bursátiles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3. Uso de información privilegiada</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4. La situación en Chile (arts. </w:t>
            </w:r>
            <w:r w:rsidRPr="004A63C0">
              <w:rPr>
                <w:rFonts w:ascii="Times New Roman" w:hAnsi="Times New Roman" w:cs="Times New Roman"/>
                <w:lang w:val="it-IT"/>
              </w:rPr>
              <w:t xml:space="preserve">52, 53, 59 a), 59 f), 59 e), 61, 60 e) , 60 g) y 60 h) LMV, principalmente).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5. Revisión de casos: caso D&amp;S-Falabella, </w:t>
            </w:r>
            <w:proofErr w:type="spellStart"/>
            <w:r w:rsidRPr="004A63C0">
              <w:rPr>
                <w:rFonts w:ascii="Times New Roman" w:hAnsi="Times New Roman" w:cs="Times New Roman"/>
                <w:lang w:val="es-ES"/>
              </w:rPr>
              <w:t>Quiñenco</w:t>
            </w:r>
            <w:proofErr w:type="spellEnd"/>
            <w:r w:rsidRPr="004A63C0">
              <w:rPr>
                <w:rFonts w:ascii="Times New Roman" w:hAnsi="Times New Roman" w:cs="Times New Roman"/>
                <w:lang w:val="es-ES"/>
              </w:rPr>
              <w:t xml:space="preserve">, MBI, </w:t>
            </w:r>
            <w:proofErr w:type="spellStart"/>
            <w:r w:rsidRPr="004A63C0">
              <w:rPr>
                <w:rFonts w:ascii="Times New Roman" w:hAnsi="Times New Roman" w:cs="Times New Roman"/>
                <w:lang w:val="es-ES"/>
              </w:rPr>
              <w:t>Schwager</w:t>
            </w:r>
            <w:proofErr w:type="spellEnd"/>
            <w:r w:rsidRPr="004A63C0">
              <w:rPr>
                <w:rFonts w:ascii="Times New Roman" w:hAnsi="Times New Roman" w:cs="Times New Roman"/>
                <w:lang w:val="es-ES"/>
              </w:rPr>
              <w:t>, La Polar, Cascadas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lastRenderedPageBreak/>
              <w:t>6. Delitos de la ley de S.A (133, 134). Déficits del derecho positivo chileno en la materia</w:t>
            </w:r>
          </w:p>
        </w:tc>
      </w:tr>
      <w:tr w:rsidR="00525BFE" w:rsidRPr="005401E3" w:rsidTr="004A63C0">
        <w:tc>
          <w:tcPr>
            <w:tcW w:w="430" w:type="pct"/>
          </w:tcPr>
          <w:p w:rsidR="00525BFE" w:rsidRPr="005401E3" w:rsidRDefault="004A63C0" w:rsidP="008601C4">
            <w:pPr>
              <w:spacing w:after="120"/>
              <w:rPr>
                <w:rFonts w:ascii="Times New Roman" w:hAnsi="Times New Roman" w:cs="Times New Roman"/>
              </w:rPr>
            </w:pPr>
            <w:r>
              <w:rPr>
                <w:rFonts w:ascii="Times New Roman" w:hAnsi="Times New Roman" w:cs="Times New Roman"/>
              </w:rPr>
              <w:lastRenderedPageBreak/>
              <w:t>25/05</w:t>
            </w:r>
          </w:p>
        </w:tc>
        <w:tc>
          <w:tcPr>
            <w:tcW w:w="4570" w:type="pct"/>
          </w:tcPr>
          <w:p w:rsidR="00525BFE" w:rsidRDefault="004A63C0" w:rsidP="008601C4">
            <w:pPr>
              <w:spacing w:after="120"/>
              <w:rPr>
                <w:rFonts w:ascii="Times New Roman" w:hAnsi="Times New Roman" w:cs="Times New Roman"/>
              </w:rPr>
            </w:pPr>
            <w:r>
              <w:rPr>
                <w:rFonts w:ascii="Times New Roman" w:hAnsi="Times New Roman" w:cs="Times New Roman"/>
              </w:rPr>
              <w:t>Delitos concursales y lavado de activos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1. El Lavado de Activos en como fenómeno criminal a nivel mundial</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 Antecedentes del lavado de activos o blanqueo de capitales en el mundo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i. Prevención y Sanción en EE.UU.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ii. Internacionalización del concepto de lavado de activos en el contexto del tráfico de estupefacientes.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iii. Internacionalización en el ámbito bancario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iv. Fusión: Creación del GAFI.</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b. Instrumentos Internacionales más relevantes sobre el lavado de activos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 Convención de las Naciones Unidas Contra el Tráfico Ilícito de Estupefacientes y Sustancias Sicotrópicas de 1988</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ii. Convención de las Naciones Unidas contra la Delincuencia Organizada Transnacional de 2000</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iii. Las 40 Recomendaciones del GAFI y el GAFISUD</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iv. GAFI 1996, 2003 y 2012 y las IX recomendaciones especiales.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v. Reglamento modelo americano sobre delitos de lavado relacionados con el tráfico ilícito de drogas y delitos conexos de 1992</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c. Caracterización del lavado de activos desde el punto de vista político criminal.</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 Concepto fenomenológico de lavado de activos y situación actual</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ii. Estructura propia de la operación de lavado de dinero: colocación; estratificación e integración.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2. Lavado de activos en Chile</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 Lavado de activos en el contexto de la lucha contra la criminalidad organizada</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b. El lavado de activos en la Ley 19.366</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c. La Ley 19.913, historia y modificaciones. </w:t>
            </w:r>
          </w:p>
        </w:tc>
      </w:tr>
      <w:tr w:rsidR="00525BFE" w:rsidRPr="005401E3" w:rsidTr="004A63C0">
        <w:tc>
          <w:tcPr>
            <w:tcW w:w="430" w:type="pct"/>
          </w:tcPr>
          <w:p w:rsidR="00525BFE" w:rsidRPr="005401E3" w:rsidRDefault="004A63C0" w:rsidP="008601C4">
            <w:pPr>
              <w:spacing w:after="120"/>
              <w:rPr>
                <w:rFonts w:ascii="Times New Roman" w:hAnsi="Times New Roman" w:cs="Times New Roman"/>
              </w:rPr>
            </w:pPr>
            <w:r>
              <w:rPr>
                <w:rFonts w:ascii="Times New Roman" w:hAnsi="Times New Roman" w:cs="Times New Roman"/>
              </w:rPr>
              <w:lastRenderedPageBreak/>
              <w:t>2</w:t>
            </w:r>
            <w:r w:rsidR="00525BFE" w:rsidRPr="005401E3">
              <w:rPr>
                <w:rFonts w:ascii="Times New Roman" w:hAnsi="Times New Roman" w:cs="Times New Roman"/>
              </w:rPr>
              <w:t>6</w:t>
            </w:r>
            <w:r>
              <w:rPr>
                <w:rFonts w:ascii="Times New Roman" w:hAnsi="Times New Roman" w:cs="Times New Roman"/>
              </w:rPr>
              <w:t>/05</w:t>
            </w:r>
          </w:p>
        </w:tc>
        <w:tc>
          <w:tcPr>
            <w:tcW w:w="4570" w:type="pct"/>
          </w:tcPr>
          <w:p w:rsidR="004A63C0" w:rsidRDefault="004A63C0" w:rsidP="008601C4">
            <w:pPr>
              <w:spacing w:after="120"/>
              <w:rPr>
                <w:rFonts w:ascii="Times New Roman" w:hAnsi="Times New Roman" w:cs="Times New Roman"/>
                <w:lang w:val="es-ES"/>
              </w:rPr>
            </w:pPr>
            <w:r>
              <w:rPr>
                <w:rFonts w:ascii="Times New Roman" w:hAnsi="Times New Roman" w:cs="Times New Roman"/>
              </w:rPr>
              <w:t>Delitos concursales y lavado de activos</w:t>
            </w:r>
            <w:r w:rsidRPr="004A63C0">
              <w:rPr>
                <w:rFonts w:ascii="Times New Roman" w:hAnsi="Times New Roman" w:cs="Times New Roman"/>
                <w:lang w:val="es-ES"/>
              </w:rPr>
              <w:t xml:space="preserve"> </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3. Tipo del lavado de activos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a. Bien Jurídico Protegido por el lavado de activos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b. Tipo penal</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c. Elementos del tipo</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d. Verbos rectores: La relación de las dos hipótesis del artículo 27</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e. Actos neutrales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f. Objeto: Bienes substitutivos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g. El catálogo de delitos previos</w:t>
            </w:r>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 xml:space="preserve">h. Autores: Posibilidad del </w:t>
            </w:r>
            <w:proofErr w:type="spellStart"/>
            <w:r w:rsidRPr="004A63C0">
              <w:rPr>
                <w:rFonts w:ascii="Times New Roman" w:hAnsi="Times New Roman" w:cs="Times New Roman"/>
                <w:lang w:val="es-ES"/>
              </w:rPr>
              <w:t>autolavado</w:t>
            </w:r>
            <w:proofErr w:type="spellEnd"/>
          </w:p>
          <w:p w:rsidR="004A63C0"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i. Proporcionalidad de la pena</w:t>
            </w:r>
          </w:p>
          <w:p w:rsidR="00525BFE" w:rsidRPr="004A63C0" w:rsidRDefault="004A63C0" w:rsidP="008601C4">
            <w:pPr>
              <w:spacing w:after="120"/>
              <w:rPr>
                <w:rFonts w:ascii="Times New Roman" w:hAnsi="Times New Roman" w:cs="Times New Roman"/>
                <w:lang w:val="es-ES"/>
              </w:rPr>
            </w:pPr>
            <w:r w:rsidRPr="004A63C0">
              <w:rPr>
                <w:rFonts w:ascii="Times New Roman" w:hAnsi="Times New Roman" w:cs="Times New Roman"/>
                <w:lang w:val="es-ES"/>
              </w:rPr>
              <w:t>4. Concursos: Relación entre lavado de activos, encubrimiento y receptación</w:t>
            </w:r>
          </w:p>
        </w:tc>
      </w:tr>
    </w:tbl>
    <w:p w:rsidR="00525BFE"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c>
          <w:tcPr>
            <w:tcW w:w="5000" w:type="pct"/>
          </w:tcPr>
          <w:p w:rsidR="00525BFE" w:rsidRPr="005401E3" w:rsidRDefault="00525BFE" w:rsidP="008601C4">
            <w:pPr>
              <w:spacing w:after="120"/>
              <w:rPr>
                <w:rFonts w:ascii="Times New Roman" w:hAnsi="Times New Roman" w:cs="Times New Roman"/>
                <w:b/>
              </w:rPr>
            </w:pPr>
            <w:r w:rsidRPr="005401E3">
              <w:rPr>
                <w:rFonts w:ascii="Times New Roman" w:hAnsi="Times New Roman" w:cs="Times New Roman"/>
                <w:b/>
              </w:rPr>
              <w:t>Seleccione una o varias de las modalidades de evaluación que desarrollará en el curso</w:t>
            </w:r>
            <w:r>
              <w:rPr>
                <w:rFonts w:ascii="Times New Roman" w:hAnsi="Times New Roman" w:cs="Times New Roman"/>
                <w:b/>
              </w:rPr>
              <w:t>/taller/seminario</w:t>
            </w:r>
            <w:r w:rsidRPr="005401E3">
              <w:rPr>
                <w:rFonts w:ascii="Times New Roman" w:hAnsi="Times New Roman" w:cs="Times New Roman"/>
                <w:b/>
              </w:rPr>
              <w:t>:</w:t>
            </w:r>
          </w:p>
          <w:p w:rsidR="00525BFE" w:rsidRPr="00395B3D" w:rsidRDefault="00525BFE" w:rsidP="008601C4">
            <w:pPr>
              <w:numPr>
                <w:ilvl w:val="0"/>
                <w:numId w:val="19"/>
              </w:numPr>
              <w:spacing w:after="120" w:line="240" w:lineRule="auto"/>
              <w:rPr>
                <w:rFonts w:ascii="Times New Roman" w:hAnsi="Times New Roman" w:cs="Times New Roman"/>
              </w:rPr>
            </w:pPr>
            <w:r w:rsidRPr="005401E3">
              <w:rPr>
                <w:rFonts w:ascii="Times New Roman" w:hAnsi="Times New Roman" w:cs="Times New Roman"/>
              </w:rPr>
              <w:t>Pruebas escritas.</w:t>
            </w:r>
          </w:p>
          <w:p w:rsidR="00525BFE" w:rsidRDefault="00525BFE" w:rsidP="008601C4">
            <w:pPr>
              <w:spacing w:after="120"/>
              <w:rPr>
                <w:rFonts w:ascii="Times New Roman" w:hAnsi="Times New Roman" w:cs="Times New Roman"/>
                <w:b/>
              </w:rPr>
            </w:pPr>
            <w:r w:rsidRPr="005401E3">
              <w:rPr>
                <w:rFonts w:ascii="Times New Roman" w:hAnsi="Times New Roman" w:cs="Times New Roman"/>
                <w:b/>
              </w:rPr>
              <w:t>Indique las formas, fechas y porcentaje de las evaluaciones</w:t>
            </w:r>
            <w:r>
              <w:rPr>
                <w:rFonts w:ascii="Times New Roman" w:hAnsi="Times New Roman" w:cs="Times New Roman"/>
                <w:b/>
              </w:rPr>
              <w:t>:</w:t>
            </w:r>
          </w:p>
          <w:p w:rsidR="00525BFE" w:rsidRDefault="00525BFE" w:rsidP="008601C4">
            <w:pPr>
              <w:spacing w:after="120"/>
              <w:rPr>
                <w:rFonts w:ascii="Times New Roman" w:hAnsi="Times New Roman" w:cs="Times New Roman"/>
              </w:rPr>
            </w:pPr>
            <w:r>
              <w:rPr>
                <w:rFonts w:ascii="Times New Roman" w:hAnsi="Times New Roman" w:cs="Times New Roman"/>
              </w:rPr>
              <w:t>Una evaluación escrita, no presencial, que se responde vía correo electrónico, equivale al 100% de la nota del curso.</w:t>
            </w:r>
          </w:p>
          <w:p w:rsidR="00525BFE" w:rsidRPr="005401E3" w:rsidRDefault="00525BFE" w:rsidP="008601C4">
            <w:pPr>
              <w:spacing w:after="120"/>
              <w:rPr>
                <w:rFonts w:ascii="Times New Roman" w:hAnsi="Times New Roman" w:cs="Times New Roman"/>
                <w:b/>
              </w:rPr>
            </w:pPr>
            <w:r>
              <w:rPr>
                <w:rFonts w:ascii="Times New Roman" w:hAnsi="Times New Roman" w:cs="Times New Roman"/>
              </w:rPr>
              <w:t xml:space="preserve">Fecha: </w:t>
            </w:r>
            <w:r w:rsidR="004130FE">
              <w:rPr>
                <w:rFonts w:ascii="Times New Roman" w:hAnsi="Times New Roman" w:cs="Times New Roman"/>
              </w:rPr>
              <w:t>01</w:t>
            </w:r>
            <w:r>
              <w:rPr>
                <w:rFonts w:ascii="Times New Roman" w:hAnsi="Times New Roman" w:cs="Times New Roman"/>
              </w:rPr>
              <w:t xml:space="preserve"> y </w:t>
            </w:r>
            <w:r w:rsidR="004130FE">
              <w:rPr>
                <w:rFonts w:ascii="Times New Roman" w:hAnsi="Times New Roman" w:cs="Times New Roman"/>
              </w:rPr>
              <w:t>02 de junio</w:t>
            </w:r>
            <w:r>
              <w:rPr>
                <w:rFonts w:ascii="Times New Roman" w:hAnsi="Times New Roman" w:cs="Times New Roman"/>
              </w:rPr>
              <w:t>.</w:t>
            </w:r>
          </w:p>
        </w:tc>
      </w:tr>
    </w:tbl>
    <w:p w:rsidR="00525BFE" w:rsidRPr="005401E3" w:rsidRDefault="00525BFE"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525BFE" w:rsidRPr="005401E3" w:rsidTr="00525BFE">
        <w:tc>
          <w:tcPr>
            <w:tcW w:w="5000" w:type="pct"/>
          </w:tcPr>
          <w:p w:rsidR="00525BFE" w:rsidRPr="005401E3" w:rsidRDefault="00525BFE" w:rsidP="008601C4">
            <w:pPr>
              <w:spacing w:after="120"/>
              <w:jc w:val="both"/>
              <w:rPr>
                <w:rFonts w:ascii="Times New Roman" w:hAnsi="Times New Roman" w:cs="Times New Roman"/>
                <w:b/>
                <w:lang w:val="es-ES"/>
              </w:rPr>
            </w:pPr>
            <w:r>
              <w:rPr>
                <w:rFonts w:ascii="Times New Roman" w:hAnsi="Times New Roman" w:cs="Times New Roman"/>
                <w:b/>
                <w:lang w:val="es-ES"/>
              </w:rPr>
              <w:t>Bibliografía:</w:t>
            </w:r>
          </w:p>
          <w:p w:rsidR="00387857" w:rsidRPr="00387857" w:rsidRDefault="00525BFE" w:rsidP="008601C4">
            <w:pPr>
              <w:spacing w:after="120"/>
              <w:jc w:val="both"/>
              <w:rPr>
                <w:rFonts w:ascii="Times New Roman" w:hAnsi="Times New Roman" w:cs="Times New Roman"/>
              </w:rPr>
            </w:pPr>
            <w:r w:rsidRPr="005401E3">
              <w:rPr>
                <w:rFonts w:ascii="Times New Roman" w:hAnsi="Times New Roman" w:cs="Times New Roman"/>
                <w:i/>
                <w:lang w:val="es-ES"/>
              </w:rPr>
              <w:t>Obligatoria</w:t>
            </w:r>
            <w:r>
              <w:rPr>
                <w:rFonts w:ascii="Times New Roman" w:hAnsi="Times New Roman" w:cs="Times New Roman"/>
                <w:i/>
                <w:lang w:val="es-ES"/>
              </w:rPr>
              <w:t>:</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lastRenderedPageBreak/>
              <w:t xml:space="preserve">FERNÁNDEZ CRUZ, José Ángel. “Fraude fiscal y lavado de capitales”. </w:t>
            </w:r>
            <w:r w:rsidRPr="00387857">
              <w:rPr>
                <w:rFonts w:ascii="Times New Roman" w:hAnsi="Times New Roman" w:cs="Times New Roman"/>
                <w:i/>
                <w:lang w:val="es-ES"/>
              </w:rPr>
              <w:t xml:space="preserve">Política criminal </w:t>
            </w:r>
            <w:r w:rsidRPr="00387857">
              <w:rPr>
                <w:rFonts w:ascii="Times New Roman" w:hAnsi="Times New Roman" w:cs="Times New Roman"/>
                <w:lang w:val="es-ES"/>
              </w:rPr>
              <w:t xml:space="preserve">vol. 4, nº 7 (2009).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FOFFANI, Luigi: “Insolvencias punibles y delitos societarios”, en </w:t>
            </w:r>
            <w:proofErr w:type="spellStart"/>
            <w:r w:rsidRPr="00387857">
              <w:rPr>
                <w:rFonts w:ascii="Times New Roman" w:hAnsi="Times New Roman" w:cs="Times New Roman"/>
                <w:lang w:val="es-ES"/>
              </w:rPr>
              <w:t>Tiedemann</w:t>
            </w:r>
            <w:proofErr w:type="spellEnd"/>
            <w:r w:rsidRPr="00387857">
              <w:rPr>
                <w:rFonts w:ascii="Times New Roman" w:hAnsi="Times New Roman" w:cs="Times New Roman"/>
                <w:lang w:val="es-ES"/>
              </w:rPr>
              <w:t xml:space="preserve"> (</w:t>
            </w:r>
            <w:proofErr w:type="spellStart"/>
            <w:r w:rsidRPr="00387857">
              <w:rPr>
                <w:rFonts w:ascii="Times New Roman" w:hAnsi="Times New Roman" w:cs="Times New Roman"/>
                <w:lang w:val="es-ES"/>
              </w:rPr>
              <w:t>dir.</w:t>
            </w:r>
            <w:proofErr w:type="spellEnd"/>
            <w:r w:rsidRPr="00387857">
              <w:rPr>
                <w:rFonts w:ascii="Times New Roman" w:hAnsi="Times New Roman" w:cs="Times New Roman"/>
                <w:lang w:val="es-ES"/>
              </w:rPr>
              <w:t xml:space="preserve">), </w:t>
            </w:r>
            <w:proofErr w:type="spellStart"/>
            <w:r w:rsidRPr="00387857">
              <w:rPr>
                <w:rFonts w:ascii="Times New Roman" w:hAnsi="Times New Roman" w:cs="Times New Roman"/>
                <w:i/>
                <w:lang w:val="es-ES"/>
              </w:rPr>
              <w:t>Eurodelitos</w:t>
            </w:r>
            <w:proofErr w:type="spellEnd"/>
            <w:r w:rsidRPr="00387857">
              <w:rPr>
                <w:rFonts w:ascii="Times New Roman" w:hAnsi="Times New Roman" w:cs="Times New Roman"/>
                <w:i/>
                <w:lang w:val="es-ES"/>
              </w:rPr>
              <w:t>. El derecho penal económico de la Unión Europea</w:t>
            </w:r>
            <w:r w:rsidRPr="00387857">
              <w:rPr>
                <w:rFonts w:ascii="Times New Roman" w:hAnsi="Times New Roman" w:cs="Times New Roman"/>
                <w:lang w:val="es-ES"/>
              </w:rPr>
              <w:t>, Universidad de Castilla, 2004, pp. 103-107, 157-158</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GARCÍA BILBAO, Juan. “El delito de lavado de dinero”. </w:t>
            </w:r>
            <w:r w:rsidRPr="00387857">
              <w:rPr>
                <w:rFonts w:ascii="Times New Roman" w:hAnsi="Times New Roman" w:cs="Times New Roman"/>
                <w:i/>
                <w:lang w:val="es-ES"/>
              </w:rPr>
              <w:t xml:space="preserve">Revista de Derecho U. del Mar </w:t>
            </w:r>
            <w:r w:rsidRPr="00387857">
              <w:rPr>
                <w:rFonts w:ascii="Times New Roman" w:hAnsi="Times New Roman" w:cs="Times New Roman"/>
                <w:lang w:val="es-ES"/>
              </w:rPr>
              <w:t xml:space="preserve">(2004), pp. 69-79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HERNÁNDEZ, Héctor. “Límites del tipo objetivo de lavado de dinero”, en RODRÍGUEZ, Luis (coord.), </w:t>
            </w:r>
            <w:r w:rsidRPr="00387857">
              <w:rPr>
                <w:rFonts w:ascii="Times New Roman" w:hAnsi="Times New Roman" w:cs="Times New Roman"/>
                <w:i/>
                <w:lang w:val="es-ES"/>
              </w:rPr>
              <w:t>Delito, pena y proceso</w:t>
            </w:r>
            <w:r w:rsidRPr="00387857">
              <w:rPr>
                <w:rFonts w:ascii="Times New Roman" w:hAnsi="Times New Roman" w:cs="Times New Roman"/>
                <w:lang w:val="es-ES"/>
              </w:rPr>
              <w:t xml:space="preserve">. Valparaíso, Editorial Jurídica, 2008. pp. 495-518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LONDOÑO, Fernando: “Ilícito de manipulación bursátil”, </w:t>
            </w:r>
            <w:r w:rsidRPr="00387857">
              <w:rPr>
                <w:rFonts w:ascii="Times New Roman" w:hAnsi="Times New Roman" w:cs="Times New Roman"/>
                <w:i/>
                <w:lang w:val="es-ES"/>
              </w:rPr>
              <w:t xml:space="preserve">Política Criminal </w:t>
            </w:r>
            <w:r w:rsidRPr="00387857">
              <w:rPr>
                <w:rFonts w:ascii="Times New Roman" w:hAnsi="Times New Roman" w:cs="Times New Roman"/>
                <w:lang w:val="es-ES"/>
              </w:rPr>
              <w:t>vol. 8 nº 15 (2013), pp. 64-127</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MAYER, Laura: “La falsificación de instrumentos privados: ¿una estafa especial?”, </w:t>
            </w:r>
            <w:r w:rsidRPr="00387857">
              <w:rPr>
                <w:rFonts w:ascii="Times New Roman" w:hAnsi="Times New Roman" w:cs="Times New Roman"/>
                <w:i/>
                <w:lang w:val="es-ES"/>
              </w:rPr>
              <w:t>Revista de Derecho Universidad Austral</w:t>
            </w:r>
            <w:r w:rsidRPr="00387857">
              <w:rPr>
                <w:rFonts w:ascii="Times New Roman" w:hAnsi="Times New Roman" w:cs="Times New Roman"/>
                <w:lang w:val="es-ES"/>
              </w:rPr>
              <w:t xml:space="preserve"> vol. XXVII nº 2 (2014), pp. 217-241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MUÑOZ CONDE, Francisco: </w:t>
            </w:r>
            <w:r w:rsidRPr="00387857">
              <w:rPr>
                <w:rFonts w:ascii="Times New Roman" w:hAnsi="Times New Roman" w:cs="Times New Roman"/>
                <w:i/>
                <w:lang w:val="es-ES"/>
              </w:rPr>
              <w:t>Derecho penal, parte especial</w:t>
            </w:r>
            <w:r w:rsidRPr="00387857">
              <w:rPr>
                <w:rFonts w:ascii="Times New Roman" w:hAnsi="Times New Roman" w:cs="Times New Roman"/>
                <w:lang w:val="es-ES"/>
              </w:rPr>
              <w:t>, 14º edición, Tirant lo Blanch, 2002, 505-519</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ROJAS, Luis Emilio: “Deconstrucción del modelo dominante de comprensión de los delitos de falsedad documental”, </w:t>
            </w:r>
            <w:r w:rsidRPr="00387857">
              <w:rPr>
                <w:rFonts w:ascii="Times New Roman" w:hAnsi="Times New Roman" w:cs="Times New Roman"/>
                <w:i/>
                <w:iCs/>
                <w:lang w:val="es-ES"/>
              </w:rPr>
              <w:t xml:space="preserve">Política Criminal </w:t>
            </w:r>
            <w:r w:rsidRPr="00387857">
              <w:rPr>
                <w:rFonts w:ascii="Times New Roman" w:hAnsi="Times New Roman" w:cs="Times New Roman"/>
                <w:lang w:val="es-ES"/>
              </w:rPr>
              <w:t xml:space="preserve">9, Nº 18 (2014), pp. 477-520.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ROJAS, Luis Emilio: “Falsedad documental como delito de engaño”, </w:t>
            </w:r>
            <w:r w:rsidRPr="00387857">
              <w:rPr>
                <w:rFonts w:ascii="Times New Roman" w:hAnsi="Times New Roman" w:cs="Times New Roman"/>
                <w:i/>
                <w:iCs/>
                <w:lang w:val="es-ES"/>
              </w:rPr>
              <w:t xml:space="preserve">Revista Chilena de Derecho </w:t>
            </w:r>
            <w:r w:rsidRPr="00387857">
              <w:rPr>
                <w:rFonts w:ascii="Times New Roman" w:hAnsi="Times New Roman" w:cs="Times New Roman"/>
                <w:lang w:val="es-ES"/>
              </w:rPr>
              <w:t>41, Nº 2 (2014), pp. 523-554. 2</w:t>
            </w:r>
          </w:p>
          <w:p w:rsidR="00387857" w:rsidRPr="00387857" w:rsidRDefault="00387857" w:rsidP="008601C4">
            <w:pPr>
              <w:spacing w:after="120"/>
              <w:rPr>
                <w:rFonts w:ascii="Times New Roman" w:hAnsi="Times New Roman" w:cs="Times New Roman"/>
              </w:rPr>
            </w:pPr>
            <w:r w:rsidRPr="00387857">
              <w:rPr>
                <w:rFonts w:ascii="Times New Roman" w:hAnsi="Times New Roman" w:cs="Times New Roman"/>
              </w:rPr>
              <w:t xml:space="preserve">VAN WEEZEL, Alex. Delitos tributarios, Editorial Jurídica, Santiago, 2007, pp. 23-78. </w:t>
            </w:r>
          </w:p>
          <w:p w:rsidR="00387857" w:rsidRPr="00387857" w:rsidRDefault="00387857" w:rsidP="008601C4">
            <w:pPr>
              <w:spacing w:after="120"/>
              <w:rPr>
                <w:rFonts w:ascii="Times New Roman" w:hAnsi="Times New Roman" w:cs="Times New Roman"/>
              </w:rPr>
            </w:pPr>
            <w:r w:rsidRPr="00387857">
              <w:rPr>
                <w:rFonts w:ascii="Times New Roman" w:hAnsi="Times New Roman" w:cs="Times New Roman"/>
              </w:rPr>
              <w:t xml:space="preserve">VIVEROS, Marcela y RAMÍREZ, Raimundo. Delito tributario. Ediciones Jurídicas Congreso, Santiago, 1997, pp. 21-45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WILENMANN, Javier: “Sobre la estructura dogmática de los delitos de falsedad en el proceso”, </w:t>
            </w:r>
            <w:proofErr w:type="spellStart"/>
            <w:r w:rsidRPr="00387857">
              <w:rPr>
                <w:rFonts w:ascii="Times New Roman" w:hAnsi="Times New Roman" w:cs="Times New Roman"/>
                <w:i/>
                <w:iCs/>
                <w:lang w:val="es-ES"/>
              </w:rPr>
              <w:t>Ius</w:t>
            </w:r>
            <w:proofErr w:type="spellEnd"/>
            <w:r w:rsidRPr="00387857">
              <w:rPr>
                <w:rFonts w:ascii="Times New Roman" w:hAnsi="Times New Roman" w:cs="Times New Roman"/>
                <w:i/>
                <w:iCs/>
                <w:lang w:val="es-ES"/>
              </w:rPr>
              <w:t xml:space="preserve"> et Praxis </w:t>
            </w:r>
            <w:r w:rsidRPr="00387857">
              <w:rPr>
                <w:rFonts w:ascii="Times New Roman" w:hAnsi="Times New Roman" w:cs="Times New Roman"/>
                <w:lang w:val="es-ES"/>
              </w:rPr>
              <w:t>20, Nº 2 (2014), pp. 71-86.</w:t>
            </w:r>
          </w:p>
          <w:p w:rsidR="00387857" w:rsidRDefault="00387857" w:rsidP="008601C4">
            <w:pPr>
              <w:spacing w:after="120"/>
              <w:jc w:val="both"/>
              <w:rPr>
                <w:rFonts w:ascii="Times New Roman" w:hAnsi="Times New Roman" w:cs="Times New Roman"/>
                <w:i/>
                <w:lang w:val="es-ES"/>
              </w:rPr>
            </w:pPr>
          </w:p>
          <w:p w:rsidR="00525BFE" w:rsidRPr="005401E3" w:rsidRDefault="00525BFE" w:rsidP="008601C4">
            <w:pPr>
              <w:spacing w:after="120"/>
              <w:jc w:val="both"/>
              <w:rPr>
                <w:rFonts w:ascii="Times New Roman" w:hAnsi="Times New Roman" w:cs="Times New Roman"/>
                <w:i/>
                <w:lang w:val="es-ES"/>
              </w:rPr>
            </w:pPr>
            <w:r w:rsidRPr="005401E3">
              <w:rPr>
                <w:rFonts w:ascii="Times New Roman" w:hAnsi="Times New Roman" w:cs="Times New Roman"/>
                <w:i/>
                <w:lang w:val="es-ES"/>
              </w:rPr>
              <w:t>Complementaria</w:t>
            </w:r>
            <w:r>
              <w:rPr>
                <w:rFonts w:ascii="Times New Roman" w:hAnsi="Times New Roman" w:cs="Times New Roman"/>
                <w:i/>
                <w:lang w:val="es-ES"/>
              </w:rPr>
              <w:t>:</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ESTRADA, Albert: “Presente y futuro del delito de alteración de precios”, </w:t>
            </w:r>
            <w:proofErr w:type="spellStart"/>
            <w:r w:rsidRPr="00387857">
              <w:rPr>
                <w:rFonts w:ascii="Times New Roman" w:hAnsi="Times New Roman" w:cs="Times New Roman"/>
                <w:i/>
                <w:lang w:val="es-ES"/>
              </w:rPr>
              <w:t>InDret</w:t>
            </w:r>
            <w:proofErr w:type="spellEnd"/>
            <w:r w:rsidRPr="00387857">
              <w:rPr>
                <w:rFonts w:ascii="Times New Roman" w:hAnsi="Times New Roman" w:cs="Times New Roman"/>
                <w:i/>
                <w:lang w:val="es-ES"/>
              </w:rPr>
              <w:t xml:space="preserve"> </w:t>
            </w:r>
            <w:r w:rsidRPr="00387857">
              <w:rPr>
                <w:rFonts w:ascii="Times New Roman" w:hAnsi="Times New Roman" w:cs="Times New Roman"/>
                <w:lang w:val="es-ES"/>
              </w:rPr>
              <w:t>1/2014.</w:t>
            </w:r>
          </w:p>
          <w:p w:rsidR="00387857" w:rsidRPr="00387857" w:rsidRDefault="00387857" w:rsidP="008601C4">
            <w:pPr>
              <w:spacing w:after="120"/>
              <w:rPr>
                <w:rFonts w:ascii="Times New Roman" w:hAnsi="Times New Roman" w:cs="Times New Roman"/>
                <w:lang w:val="es-ES_tradnl"/>
              </w:rPr>
            </w:pPr>
            <w:r w:rsidRPr="00387857">
              <w:rPr>
                <w:rFonts w:ascii="Times New Roman" w:hAnsi="Times New Roman" w:cs="Times New Roman"/>
                <w:lang w:val="es-ES"/>
              </w:rPr>
              <w:t xml:space="preserve">FERNÁNDEZ CRUZ, José Ángel. “Estudio político criminal sobre el tipo imprudente de legalización de capitales”. </w:t>
            </w:r>
            <w:r w:rsidRPr="00387857">
              <w:rPr>
                <w:rFonts w:ascii="Times New Roman" w:hAnsi="Times New Roman" w:cs="Times New Roman"/>
                <w:i/>
                <w:lang w:val="es-ES"/>
              </w:rPr>
              <w:t>Revista de Derecho PUCV</w:t>
            </w:r>
            <w:r w:rsidRPr="00387857">
              <w:rPr>
                <w:rFonts w:ascii="Times New Roman" w:hAnsi="Times New Roman" w:cs="Times New Roman"/>
                <w:lang w:val="es-ES"/>
              </w:rPr>
              <w:t xml:space="preserve"> XXVI (2005), pp. 155-179</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FERRE, Juan Carlos: “Sujetos responsables en los delitos societarios”, </w:t>
            </w:r>
            <w:r w:rsidRPr="00387857">
              <w:rPr>
                <w:rFonts w:ascii="Times New Roman" w:hAnsi="Times New Roman" w:cs="Times New Roman"/>
                <w:i/>
                <w:lang w:val="es-ES"/>
              </w:rPr>
              <w:t xml:space="preserve">Revista Penal </w:t>
            </w:r>
            <w:r w:rsidRPr="00387857">
              <w:rPr>
                <w:rFonts w:ascii="Times New Roman" w:hAnsi="Times New Roman" w:cs="Times New Roman"/>
                <w:lang w:val="es-ES"/>
              </w:rPr>
              <w:t>Nº 1 (1998), pp. 21-28</w:t>
            </w:r>
          </w:p>
          <w:p w:rsidR="00387857" w:rsidRPr="00387857" w:rsidRDefault="00387857" w:rsidP="008601C4">
            <w:pPr>
              <w:spacing w:after="120"/>
              <w:rPr>
                <w:rFonts w:ascii="Times New Roman" w:hAnsi="Times New Roman" w:cs="Times New Roman"/>
                <w:lang w:val="es-ES"/>
              </w:rPr>
            </w:pPr>
            <w:r>
              <w:rPr>
                <w:rFonts w:ascii="Times New Roman" w:hAnsi="Times New Roman" w:cs="Times New Roman"/>
                <w:lang w:val="es-ES"/>
              </w:rPr>
              <w:lastRenderedPageBreak/>
              <w:t>GUZMÁN DÁ</w:t>
            </w:r>
            <w:r w:rsidRPr="00387857">
              <w:rPr>
                <w:rFonts w:ascii="Times New Roman" w:hAnsi="Times New Roman" w:cs="Times New Roman"/>
                <w:lang w:val="es-ES"/>
              </w:rPr>
              <w:t xml:space="preserve">LBORA, José Luis: “Falsedad documental y supresión de actuaciones en expedientes judiciales”, en del mismo, </w:t>
            </w:r>
            <w:r w:rsidRPr="00387857">
              <w:rPr>
                <w:rFonts w:ascii="Times New Roman" w:hAnsi="Times New Roman" w:cs="Times New Roman"/>
                <w:i/>
                <w:lang w:val="es-ES"/>
              </w:rPr>
              <w:t>Estudios y defensas penales</w:t>
            </w:r>
            <w:r w:rsidRPr="00387857">
              <w:rPr>
                <w:rFonts w:ascii="Times New Roman" w:hAnsi="Times New Roman" w:cs="Times New Roman"/>
                <w:lang w:val="es-ES"/>
              </w:rPr>
              <w:t>, 3ª edición, Legal Publishing, 2009, pp. 511-523</w:t>
            </w:r>
          </w:p>
          <w:p w:rsidR="00387857" w:rsidRPr="00387857" w:rsidRDefault="00387857" w:rsidP="008601C4">
            <w:pPr>
              <w:spacing w:after="120"/>
              <w:rPr>
                <w:rFonts w:ascii="Times New Roman" w:hAnsi="Times New Roman" w:cs="Times New Roman"/>
              </w:rPr>
            </w:pPr>
            <w:r w:rsidRPr="00387857">
              <w:rPr>
                <w:rFonts w:ascii="Times New Roman" w:hAnsi="Times New Roman" w:cs="Times New Roman"/>
              </w:rPr>
              <w:t>HADWA, Marcelo. “El sujeto activo en los delitos tributarios y los problemas relativos a la participación criminal”, Política Criminal nº 3, 2007, p. 1-18</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PASTOR MUÑOZ, Nuria: “La relevancia penal de los acuerdos de las mayorías de las sociedades (artículo 284 CP)”, </w:t>
            </w:r>
            <w:proofErr w:type="spellStart"/>
            <w:r w:rsidRPr="00387857">
              <w:rPr>
                <w:rFonts w:ascii="Times New Roman" w:hAnsi="Times New Roman" w:cs="Times New Roman"/>
                <w:i/>
                <w:lang w:val="es-ES"/>
              </w:rPr>
              <w:t>InDret</w:t>
            </w:r>
            <w:proofErr w:type="spellEnd"/>
            <w:r w:rsidRPr="00387857">
              <w:rPr>
                <w:rFonts w:ascii="Times New Roman" w:hAnsi="Times New Roman" w:cs="Times New Roman"/>
                <w:i/>
                <w:lang w:val="es-ES"/>
              </w:rPr>
              <w:t xml:space="preserve"> </w:t>
            </w:r>
            <w:r w:rsidRPr="00387857">
              <w:rPr>
                <w:rFonts w:ascii="Times New Roman" w:hAnsi="Times New Roman" w:cs="Times New Roman"/>
                <w:lang w:val="es-ES"/>
              </w:rPr>
              <w:t xml:space="preserve">1/2008. </w:t>
            </w:r>
          </w:p>
          <w:p w:rsidR="00387857" w:rsidRPr="00387857" w:rsidRDefault="00387857" w:rsidP="008601C4">
            <w:pPr>
              <w:spacing w:after="120"/>
              <w:rPr>
                <w:rFonts w:ascii="Times New Roman" w:hAnsi="Times New Roman" w:cs="Times New Roman"/>
              </w:rPr>
            </w:pPr>
            <w:r w:rsidRPr="00387857">
              <w:rPr>
                <w:rFonts w:ascii="Times New Roman" w:hAnsi="Times New Roman" w:cs="Times New Roman"/>
              </w:rPr>
              <w:t xml:space="preserve">RADOVIC, Carolina. El sistema sancionatorio tributario.2ª edición, Editorial Jurídica, Santiago, 2010, pp. 9-29 </w:t>
            </w:r>
          </w:p>
          <w:p w:rsidR="00387857" w:rsidRPr="00387857" w:rsidRDefault="00387857" w:rsidP="008601C4">
            <w:pPr>
              <w:spacing w:after="120"/>
              <w:rPr>
                <w:rFonts w:ascii="Times New Roman" w:hAnsi="Times New Roman" w:cs="Times New Roman"/>
                <w:lang w:val="es-ES"/>
              </w:rPr>
            </w:pPr>
            <w:r w:rsidRPr="00387857">
              <w:rPr>
                <w:rFonts w:ascii="Times New Roman" w:hAnsi="Times New Roman" w:cs="Times New Roman"/>
                <w:lang w:val="es-ES"/>
              </w:rPr>
              <w:t xml:space="preserve">ROJAS, Luis Emilio: “Historia dogmática de la falsedad documental”, </w:t>
            </w:r>
            <w:r w:rsidRPr="00387857">
              <w:rPr>
                <w:rFonts w:ascii="Times New Roman" w:hAnsi="Times New Roman" w:cs="Times New Roman"/>
                <w:i/>
                <w:iCs/>
                <w:lang w:val="es-ES"/>
              </w:rPr>
              <w:t xml:space="preserve">Revista de Derecho de la Pontificia Universidad Católica de Valparaíso </w:t>
            </w:r>
            <w:r w:rsidRPr="00387857">
              <w:rPr>
                <w:rFonts w:ascii="Times New Roman" w:hAnsi="Times New Roman" w:cs="Times New Roman"/>
                <w:lang w:val="es-ES"/>
              </w:rPr>
              <w:t>39 (2012), pp. 545-583.</w:t>
            </w:r>
          </w:p>
          <w:p w:rsidR="00387857" w:rsidRPr="00387857" w:rsidRDefault="00387857" w:rsidP="008601C4">
            <w:pPr>
              <w:spacing w:after="120"/>
              <w:rPr>
                <w:rFonts w:ascii="Times New Roman" w:hAnsi="Times New Roman" w:cs="Times New Roman"/>
              </w:rPr>
            </w:pPr>
            <w:r w:rsidRPr="00387857">
              <w:rPr>
                <w:rFonts w:ascii="Times New Roman" w:hAnsi="Times New Roman" w:cs="Times New Roman"/>
              </w:rPr>
              <w:t>VIVEROS, Miguel. “Algunas precisiones sobre el delito descrito en el art. 97 nº 4, inc. primero del Código Tributario”, Gaceta Jurídica nº 320 (2007).</w:t>
            </w:r>
          </w:p>
          <w:p w:rsidR="00387857" w:rsidRPr="00387857" w:rsidRDefault="00387857" w:rsidP="008601C4">
            <w:pPr>
              <w:spacing w:after="120"/>
              <w:rPr>
                <w:rFonts w:ascii="Times New Roman" w:hAnsi="Times New Roman" w:cs="Times New Roman"/>
              </w:rPr>
            </w:pPr>
            <w:r w:rsidRPr="00387857">
              <w:rPr>
                <w:rFonts w:ascii="Times New Roman" w:hAnsi="Times New Roman" w:cs="Times New Roman"/>
              </w:rPr>
              <w:t xml:space="preserve">ZAVALA, José Luis. “El dolo en los delitos tributarios”, Punto </w:t>
            </w:r>
            <w:proofErr w:type="spellStart"/>
            <w:r w:rsidRPr="00387857">
              <w:rPr>
                <w:rFonts w:ascii="Times New Roman" w:hAnsi="Times New Roman" w:cs="Times New Roman"/>
              </w:rPr>
              <w:t>Lex</w:t>
            </w:r>
            <w:proofErr w:type="spellEnd"/>
            <w:r w:rsidRPr="00387857">
              <w:rPr>
                <w:rFonts w:ascii="Times New Roman" w:hAnsi="Times New Roman" w:cs="Times New Roman"/>
              </w:rPr>
              <w:t xml:space="preserve"> (2010), disponible en Legal Publishing cita CL/DOC/1350/2010</w:t>
            </w:r>
          </w:p>
          <w:p w:rsidR="00525BFE" w:rsidRPr="00387857" w:rsidRDefault="00525BFE" w:rsidP="008601C4">
            <w:pPr>
              <w:tabs>
                <w:tab w:val="left" w:pos="284"/>
              </w:tabs>
              <w:spacing w:after="120"/>
              <w:jc w:val="both"/>
              <w:rPr>
                <w:rFonts w:ascii="Times New Roman" w:hAnsi="Times New Roman" w:cs="Times New Roman"/>
                <w:lang w:val="es-ES"/>
              </w:rPr>
            </w:pPr>
          </w:p>
        </w:tc>
      </w:tr>
    </w:tbl>
    <w:p w:rsidR="00525BFE" w:rsidRDefault="00525BFE" w:rsidP="008601C4">
      <w:pPr>
        <w:spacing w:after="120"/>
        <w:rPr>
          <w:rFonts w:ascii="Times New Roman" w:hAnsi="Times New Roman" w:cs="Times New Roman"/>
          <w:b/>
        </w:rPr>
      </w:pPr>
    </w:p>
    <w:p w:rsidR="00F820EC" w:rsidRDefault="00525BFE" w:rsidP="00FA4DB3">
      <w:pPr>
        <w:spacing w:after="120"/>
        <w:rPr>
          <w:rFonts w:ascii="Times New Roman" w:hAnsi="Times New Roman" w:cs="Times New Roman"/>
          <w:b/>
        </w:rPr>
      </w:pPr>
      <w:r>
        <w:rPr>
          <w:rFonts w:ascii="Times New Roman" w:hAnsi="Times New Roman" w:cs="Times New Roman"/>
          <w:b/>
        </w:rPr>
        <w:br w:type="page"/>
      </w:r>
    </w:p>
    <w:p w:rsidR="00F820EC" w:rsidRDefault="002F3CE7" w:rsidP="00311334">
      <w:pPr>
        <w:pStyle w:val="Prrafodelista"/>
        <w:spacing w:after="120"/>
        <w:ind w:left="1701"/>
        <w:jc w:val="right"/>
        <w:rPr>
          <w:rFonts w:ascii="Times New Roman" w:hAnsi="Times New Roman" w:cs="Times New Roman"/>
          <w:b/>
        </w:rPr>
      </w:pPr>
      <w:r>
        <w:rPr>
          <w:rFonts w:ascii="Times New Roman" w:hAnsi="Times New Roman" w:cs="Times New Roman"/>
          <w:b/>
        </w:rPr>
        <w:lastRenderedPageBreak/>
        <w:t xml:space="preserve">    </w:t>
      </w:r>
      <w:r w:rsidR="003245C5">
        <w:rPr>
          <w:rFonts w:ascii="Times New Roman" w:hAnsi="Times New Roman" w:cs="Times New Roman"/>
          <w:b/>
        </w:rPr>
        <w:t xml:space="preserve">       </w:t>
      </w:r>
      <w:r w:rsidR="00370C7E">
        <w:rPr>
          <w:rFonts w:ascii="Times New Roman" w:hAnsi="Times New Roman" w:cs="Times New Roman"/>
          <w:b/>
        </w:rPr>
        <w:t>FECHA Y</w:t>
      </w:r>
      <w:r>
        <w:rPr>
          <w:rFonts w:ascii="Times New Roman" w:hAnsi="Times New Roman" w:cs="Times New Roman"/>
          <w:b/>
        </w:rPr>
        <w:t xml:space="preserve"> </w:t>
      </w:r>
      <w:r w:rsidR="00F820EC">
        <w:rPr>
          <w:rFonts w:ascii="Times New Roman" w:hAnsi="Times New Roman" w:cs="Times New Roman"/>
          <w:b/>
        </w:rPr>
        <w:t>FIRMA COORDINADOR</w:t>
      </w:r>
      <w:r w:rsidR="00370C7E">
        <w:rPr>
          <w:rFonts w:ascii="Times New Roman" w:hAnsi="Times New Roman" w:cs="Times New Roman"/>
          <w:b/>
        </w:rPr>
        <w:t>/A</w:t>
      </w:r>
      <w:r w:rsidR="00F820EC">
        <w:rPr>
          <w:rFonts w:ascii="Times New Roman" w:hAnsi="Times New Roman" w:cs="Times New Roman"/>
          <w:b/>
        </w:rPr>
        <w:t xml:space="preserve"> ACADÉMICO</w:t>
      </w:r>
      <w:r w:rsidR="00370C7E">
        <w:rPr>
          <w:rFonts w:ascii="Times New Roman" w:hAnsi="Times New Roman" w:cs="Times New Roman"/>
          <w:b/>
        </w:rPr>
        <w:t>/A</w:t>
      </w:r>
    </w:p>
    <w:sectPr w:rsidR="00F820EC" w:rsidSect="00DA229A">
      <w:headerReference w:type="default" r:id="rId9"/>
      <w:footerReference w:type="default" r:id="rId10"/>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A5" w:rsidRDefault="00E544A5" w:rsidP="00026277">
      <w:pPr>
        <w:spacing w:after="0" w:line="240" w:lineRule="auto"/>
      </w:pPr>
      <w:r>
        <w:separator/>
      </w:r>
    </w:p>
  </w:endnote>
  <w:endnote w:type="continuationSeparator" w:id="0">
    <w:p w:rsidR="00E544A5" w:rsidRDefault="00E544A5" w:rsidP="0002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57402"/>
      <w:docPartObj>
        <w:docPartGallery w:val="Page Numbers (Bottom of Page)"/>
        <w:docPartUnique/>
      </w:docPartObj>
    </w:sdtPr>
    <w:sdtEndPr/>
    <w:sdtContent>
      <w:p w:rsidR="00D22CA6" w:rsidRDefault="00D22CA6">
        <w:pPr>
          <w:pStyle w:val="Piedepgina"/>
          <w:jc w:val="right"/>
        </w:pPr>
        <w:r>
          <w:fldChar w:fldCharType="begin"/>
        </w:r>
        <w:r>
          <w:instrText>PAGE   \* MERGEFORMAT</w:instrText>
        </w:r>
        <w:r>
          <w:fldChar w:fldCharType="separate"/>
        </w:r>
        <w:r w:rsidR="00FA4DB3" w:rsidRPr="00FA4DB3">
          <w:rPr>
            <w:noProof/>
            <w:lang w:val="es-ES"/>
          </w:rPr>
          <w:t>1</w:t>
        </w:r>
        <w:r>
          <w:fldChar w:fldCharType="end"/>
        </w:r>
      </w:p>
    </w:sdtContent>
  </w:sdt>
  <w:p w:rsidR="00D22CA6" w:rsidRDefault="00D22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A5" w:rsidRDefault="00E544A5" w:rsidP="00026277">
      <w:pPr>
        <w:spacing w:after="0" w:line="240" w:lineRule="auto"/>
      </w:pPr>
      <w:r>
        <w:separator/>
      </w:r>
    </w:p>
  </w:footnote>
  <w:footnote w:type="continuationSeparator" w:id="0">
    <w:p w:rsidR="00E544A5" w:rsidRDefault="00E544A5" w:rsidP="0002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A6" w:rsidRDefault="00D22CA6">
    <w:pPr>
      <w:pStyle w:val="Encabezado"/>
    </w:pPr>
    <w:r w:rsidRPr="006D63FC">
      <w:rPr>
        <w:rFonts w:ascii="Times New Roman" w:hAnsi="Times New Roman" w:cs="Times New Roman"/>
        <w:noProof/>
        <w:sz w:val="24"/>
        <w:szCs w:val="24"/>
        <w:lang w:eastAsia="es-CL"/>
      </w:rPr>
      <w:drawing>
        <wp:inline distT="0" distB="0" distL="0" distR="0" wp14:anchorId="64EAF285" wp14:editId="2466B6A7">
          <wp:extent cx="2047875" cy="733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AB7"/>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D224E0"/>
    <w:multiLevelType w:val="hybridMultilevel"/>
    <w:tmpl w:val="DD5E1D34"/>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1681FA2"/>
    <w:multiLevelType w:val="hybridMultilevel"/>
    <w:tmpl w:val="5B7E79F4"/>
    <w:lvl w:ilvl="0" w:tplc="266C5812">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D634CD"/>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2D2845"/>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C40C25"/>
    <w:multiLevelType w:val="hybridMultilevel"/>
    <w:tmpl w:val="512A46C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8970FBF8">
      <w:numFmt w:val="bullet"/>
      <w:lvlText w:val="-"/>
      <w:lvlJc w:val="left"/>
      <w:pPr>
        <w:ind w:left="2340" w:hanging="360"/>
      </w:pPr>
      <w:rPr>
        <w:rFonts w:ascii="Times New Roman" w:eastAsiaTheme="minorHAnsi"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D855C0"/>
    <w:multiLevelType w:val="hybridMultilevel"/>
    <w:tmpl w:val="FA7288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D7E5CF9"/>
    <w:multiLevelType w:val="hybridMultilevel"/>
    <w:tmpl w:val="2062D1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273113"/>
    <w:multiLevelType w:val="hybridMultilevel"/>
    <w:tmpl w:val="CE4E0478"/>
    <w:lvl w:ilvl="0" w:tplc="0C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7693B7D"/>
    <w:multiLevelType w:val="hybridMultilevel"/>
    <w:tmpl w:val="FA7288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84E2C8A"/>
    <w:multiLevelType w:val="hybridMultilevel"/>
    <w:tmpl w:val="A1220AB4"/>
    <w:lvl w:ilvl="0" w:tplc="340A000F">
      <w:start w:val="1"/>
      <w:numFmt w:val="decimal"/>
      <w:lvlText w:val="%1."/>
      <w:lvlJc w:val="left"/>
      <w:pPr>
        <w:ind w:left="720" w:hanging="360"/>
      </w:pPr>
      <w:rPr>
        <w:rFonts w:hint="default"/>
      </w:rPr>
    </w:lvl>
    <w:lvl w:ilvl="1" w:tplc="B526E3B0">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9532A1B"/>
    <w:multiLevelType w:val="multilevel"/>
    <w:tmpl w:val="A0EE648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1CA06BA8"/>
    <w:multiLevelType w:val="multilevel"/>
    <w:tmpl w:val="C0D2AE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5615CC"/>
    <w:multiLevelType w:val="hybridMultilevel"/>
    <w:tmpl w:val="C8867956"/>
    <w:lvl w:ilvl="0" w:tplc="2D2C633E">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nsid w:val="219037C5"/>
    <w:multiLevelType w:val="hybridMultilevel"/>
    <w:tmpl w:val="7054B9C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243A09CC"/>
    <w:multiLevelType w:val="multilevel"/>
    <w:tmpl w:val="1E38D0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C63440"/>
    <w:multiLevelType w:val="hybridMultilevel"/>
    <w:tmpl w:val="3BDA8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B245038"/>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BEF1897"/>
    <w:multiLevelType w:val="multilevel"/>
    <w:tmpl w:val="A0EE64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EB632C0"/>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0530BA2"/>
    <w:multiLevelType w:val="hybridMultilevel"/>
    <w:tmpl w:val="84566FDE"/>
    <w:lvl w:ilvl="0" w:tplc="340A000F">
      <w:start w:val="1"/>
      <w:numFmt w:val="decimal"/>
      <w:lvlText w:val="%1."/>
      <w:lvlJc w:val="left"/>
      <w:pPr>
        <w:ind w:left="720" w:hanging="360"/>
      </w:pPr>
      <w:rPr>
        <w:rFonts w:hint="default"/>
      </w:rPr>
    </w:lvl>
    <w:lvl w:ilvl="1" w:tplc="3A0096CA">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3E22C47"/>
    <w:multiLevelType w:val="hybridMultilevel"/>
    <w:tmpl w:val="A174517A"/>
    <w:lvl w:ilvl="0" w:tplc="0C0A000F">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nsid w:val="3A713290"/>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E517419"/>
    <w:multiLevelType w:val="hybridMultilevel"/>
    <w:tmpl w:val="C862E43A"/>
    <w:lvl w:ilvl="0" w:tplc="340A000F">
      <w:start w:val="1"/>
      <w:numFmt w:val="decimal"/>
      <w:lvlText w:val="%1."/>
      <w:lvlJc w:val="left"/>
      <w:pPr>
        <w:ind w:left="720" w:hanging="360"/>
      </w:pPr>
      <w:rPr>
        <w:rFonts w:hint="default"/>
      </w:rPr>
    </w:lvl>
    <w:lvl w:ilvl="1" w:tplc="3A0096CA">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F5159AC"/>
    <w:multiLevelType w:val="hybridMultilevel"/>
    <w:tmpl w:val="BD1A091E"/>
    <w:lvl w:ilvl="0" w:tplc="76EE1A5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1C203B6"/>
    <w:multiLevelType w:val="hybridMultilevel"/>
    <w:tmpl w:val="E760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2AF0661"/>
    <w:multiLevelType w:val="hybridMultilevel"/>
    <w:tmpl w:val="5B7E79F4"/>
    <w:lvl w:ilvl="0" w:tplc="266C5812">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35970E2"/>
    <w:multiLevelType w:val="hybridMultilevel"/>
    <w:tmpl w:val="9864BA5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44AC3299"/>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517341D"/>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70E2ED1"/>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7387657"/>
    <w:multiLevelType w:val="hybridMultilevel"/>
    <w:tmpl w:val="6D34F7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8D12CE5"/>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D737A32"/>
    <w:multiLevelType w:val="hybridMultilevel"/>
    <w:tmpl w:val="B2DC3ECC"/>
    <w:lvl w:ilvl="0" w:tplc="672EBC1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4DAE4878"/>
    <w:multiLevelType w:val="hybridMultilevel"/>
    <w:tmpl w:val="EB9C77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FD02376"/>
    <w:multiLevelType w:val="hybridMultilevel"/>
    <w:tmpl w:val="97B8F4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087141D"/>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10E40C4"/>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5DD450D"/>
    <w:multiLevelType w:val="hybridMultilevel"/>
    <w:tmpl w:val="2062D1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7550D98"/>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FCC4DCE"/>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28607C8"/>
    <w:multiLevelType w:val="hybridMultilevel"/>
    <w:tmpl w:val="58BEDB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nsid w:val="640305BF"/>
    <w:multiLevelType w:val="multilevel"/>
    <w:tmpl w:val="1E38D0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4AB516A"/>
    <w:multiLevelType w:val="hybridMultilevel"/>
    <w:tmpl w:val="4E904A8E"/>
    <w:lvl w:ilvl="0" w:tplc="76EE1A5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17D22C0"/>
    <w:multiLevelType w:val="hybridMultilevel"/>
    <w:tmpl w:val="EFE49A0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61274A8"/>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B3E3BF7"/>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E223342"/>
    <w:multiLevelType w:val="hybridMultilevel"/>
    <w:tmpl w:val="6DC2172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44"/>
  </w:num>
  <w:num w:numId="2">
    <w:abstractNumId w:val="33"/>
  </w:num>
  <w:num w:numId="3">
    <w:abstractNumId w:val="1"/>
  </w:num>
  <w:num w:numId="4">
    <w:abstractNumId w:val="41"/>
  </w:num>
  <w:num w:numId="5">
    <w:abstractNumId w:val="14"/>
  </w:num>
  <w:num w:numId="6">
    <w:abstractNumId w:val="26"/>
  </w:num>
  <w:num w:numId="7">
    <w:abstractNumId w:val="2"/>
  </w:num>
  <w:num w:numId="8">
    <w:abstractNumId w:val="4"/>
  </w:num>
  <w:num w:numId="9">
    <w:abstractNumId w:val="32"/>
  </w:num>
  <w:num w:numId="10">
    <w:abstractNumId w:val="9"/>
  </w:num>
  <w:num w:numId="11">
    <w:abstractNumId w:val="23"/>
  </w:num>
  <w:num w:numId="12">
    <w:abstractNumId w:val="35"/>
  </w:num>
  <w:num w:numId="13">
    <w:abstractNumId w:val="16"/>
  </w:num>
  <w:num w:numId="14">
    <w:abstractNumId w:val="25"/>
  </w:num>
  <w:num w:numId="15">
    <w:abstractNumId w:val="20"/>
  </w:num>
  <w:num w:numId="16">
    <w:abstractNumId w:val="10"/>
  </w:num>
  <w:num w:numId="17">
    <w:abstractNumId w:val="43"/>
  </w:num>
  <w:num w:numId="18">
    <w:abstractNumId w:val="24"/>
  </w:num>
  <w:num w:numId="19">
    <w:abstractNumId w:val="39"/>
  </w:num>
  <w:num w:numId="20">
    <w:abstractNumId w:val="19"/>
  </w:num>
  <w:num w:numId="21">
    <w:abstractNumId w:val="17"/>
  </w:num>
  <w:num w:numId="22">
    <w:abstractNumId w:val="28"/>
  </w:num>
  <w:num w:numId="23">
    <w:abstractNumId w:val="34"/>
  </w:num>
  <w:num w:numId="24">
    <w:abstractNumId w:val="30"/>
  </w:num>
  <w:num w:numId="25">
    <w:abstractNumId w:val="37"/>
  </w:num>
  <w:num w:numId="26">
    <w:abstractNumId w:val="3"/>
  </w:num>
  <w:num w:numId="27">
    <w:abstractNumId w:val="46"/>
  </w:num>
  <w:num w:numId="28">
    <w:abstractNumId w:val="0"/>
  </w:num>
  <w:num w:numId="29">
    <w:abstractNumId w:val="45"/>
  </w:num>
  <w:num w:numId="30">
    <w:abstractNumId w:val="15"/>
  </w:num>
  <w:num w:numId="31">
    <w:abstractNumId w:val="42"/>
  </w:num>
  <w:num w:numId="32">
    <w:abstractNumId w:val="22"/>
  </w:num>
  <w:num w:numId="33">
    <w:abstractNumId w:val="36"/>
  </w:num>
  <w:num w:numId="34">
    <w:abstractNumId w:val="12"/>
  </w:num>
  <w:num w:numId="35">
    <w:abstractNumId w:val="5"/>
  </w:num>
  <w:num w:numId="36">
    <w:abstractNumId w:val="8"/>
  </w:num>
  <w:num w:numId="37">
    <w:abstractNumId w:val="31"/>
  </w:num>
  <w:num w:numId="38">
    <w:abstractNumId w:val="18"/>
  </w:num>
  <w:num w:numId="39">
    <w:abstractNumId w:val="13"/>
  </w:num>
  <w:num w:numId="40">
    <w:abstractNumId w:val="40"/>
  </w:num>
  <w:num w:numId="41">
    <w:abstractNumId w:val="47"/>
  </w:num>
  <w:num w:numId="42">
    <w:abstractNumId w:val="21"/>
  </w:num>
  <w:num w:numId="43">
    <w:abstractNumId w:val="11"/>
  </w:num>
  <w:num w:numId="44">
    <w:abstractNumId w:val="6"/>
  </w:num>
  <w:num w:numId="45">
    <w:abstractNumId w:val="7"/>
  </w:num>
  <w:num w:numId="46">
    <w:abstractNumId w:val="27"/>
  </w:num>
  <w:num w:numId="47">
    <w:abstractNumId w:val="2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4E"/>
    <w:rsid w:val="0002113E"/>
    <w:rsid w:val="00026277"/>
    <w:rsid w:val="000263E1"/>
    <w:rsid w:val="0003229F"/>
    <w:rsid w:val="00037AB6"/>
    <w:rsid w:val="00052282"/>
    <w:rsid w:val="00060FDC"/>
    <w:rsid w:val="000809E6"/>
    <w:rsid w:val="000C7E53"/>
    <w:rsid w:val="000F2925"/>
    <w:rsid w:val="00103079"/>
    <w:rsid w:val="0010666D"/>
    <w:rsid w:val="00106DD5"/>
    <w:rsid w:val="00120911"/>
    <w:rsid w:val="00127323"/>
    <w:rsid w:val="00140B00"/>
    <w:rsid w:val="00170B4B"/>
    <w:rsid w:val="00182BC9"/>
    <w:rsid w:val="00192F77"/>
    <w:rsid w:val="001F7AE2"/>
    <w:rsid w:val="00202434"/>
    <w:rsid w:val="002107C0"/>
    <w:rsid w:val="00212D4F"/>
    <w:rsid w:val="00267EAD"/>
    <w:rsid w:val="002A07A5"/>
    <w:rsid w:val="002B2DF2"/>
    <w:rsid w:val="002B4E70"/>
    <w:rsid w:val="002B6433"/>
    <w:rsid w:val="002C6E3E"/>
    <w:rsid w:val="002F3CE7"/>
    <w:rsid w:val="00311334"/>
    <w:rsid w:val="003239D2"/>
    <w:rsid w:val="003245C5"/>
    <w:rsid w:val="003310EB"/>
    <w:rsid w:val="00332FEF"/>
    <w:rsid w:val="003436E3"/>
    <w:rsid w:val="003526C1"/>
    <w:rsid w:val="003532CC"/>
    <w:rsid w:val="00360BE3"/>
    <w:rsid w:val="00370C7E"/>
    <w:rsid w:val="00371B2C"/>
    <w:rsid w:val="00374088"/>
    <w:rsid w:val="00383CA6"/>
    <w:rsid w:val="00387857"/>
    <w:rsid w:val="00392AD4"/>
    <w:rsid w:val="00395B3D"/>
    <w:rsid w:val="00396AB4"/>
    <w:rsid w:val="003B2B3E"/>
    <w:rsid w:val="003B37E5"/>
    <w:rsid w:val="003E65EE"/>
    <w:rsid w:val="003F264F"/>
    <w:rsid w:val="004130FE"/>
    <w:rsid w:val="0043303B"/>
    <w:rsid w:val="00434743"/>
    <w:rsid w:val="004368F6"/>
    <w:rsid w:val="00437A21"/>
    <w:rsid w:val="004427D7"/>
    <w:rsid w:val="004548D1"/>
    <w:rsid w:val="00475B44"/>
    <w:rsid w:val="00482CE3"/>
    <w:rsid w:val="00496965"/>
    <w:rsid w:val="004A63C0"/>
    <w:rsid w:val="004D6F35"/>
    <w:rsid w:val="004E2C1D"/>
    <w:rsid w:val="004E702C"/>
    <w:rsid w:val="004F256F"/>
    <w:rsid w:val="005072F9"/>
    <w:rsid w:val="0052564D"/>
    <w:rsid w:val="00525BFE"/>
    <w:rsid w:val="00542EEA"/>
    <w:rsid w:val="00545445"/>
    <w:rsid w:val="005456E2"/>
    <w:rsid w:val="00556D3B"/>
    <w:rsid w:val="00582434"/>
    <w:rsid w:val="005845C6"/>
    <w:rsid w:val="005A1CFD"/>
    <w:rsid w:val="005A67E6"/>
    <w:rsid w:val="005B4BC4"/>
    <w:rsid w:val="005C037D"/>
    <w:rsid w:val="005C4293"/>
    <w:rsid w:val="005C4FED"/>
    <w:rsid w:val="005E23A4"/>
    <w:rsid w:val="005E5BBD"/>
    <w:rsid w:val="005F3F51"/>
    <w:rsid w:val="00624869"/>
    <w:rsid w:val="00634292"/>
    <w:rsid w:val="0064196A"/>
    <w:rsid w:val="00657253"/>
    <w:rsid w:val="006668BA"/>
    <w:rsid w:val="00692F6E"/>
    <w:rsid w:val="006936B4"/>
    <w:rsid w:val="006A79BA"/>
    <w:rsid w:val="006B0854"/>
    <w:rsid w:val="006B74E2"/>
    <w:rsid w:val="006C6E42"/>
    <w:rsid w:val="006D04A8"/>
    <w:rsid w:val="006D2F2A"/>
    <w:rsid w:val="006D4D5C"/>
    <w:rsid w:val="00716E4C"/>
    <w:rsid w:val="00736CBD"/>
    <w:rsid w:val="00742E53"/>
    <w:rsid w:val="007473A4"/>
    <w:rsid w:val="00763B52"/>
    <w:rsid w:val="00785D10"/>
    <w:rsid w:val="00791376"/>
    <w:rsid w:val="007C3895"/>
    <w:rsid w:val="007D1422"/>
    <w:rsid w:val="007D4D42"/>
    <w:rsid w:val="007E1DD1"/>
    <w:rsid w:val="007E721C"/>
    <w:rsid w:val="007F6E27"/>
    <w:rsid w:val="008252C1"/>
    <w:rsid w:val="0083098A"/>
    <w:rsid w:val="00836254"/>
    <w:rsid w:val="00855D5A"/>
    <w:rsid w:val="008569B6"/>
    <w:rsid w:val="008601C4"/>
    <w:rsid w:val="00864948"/>
    <w:rsid w:val="00864B71"/>
    <w:rsid w:val="00864CF8"/>
    <w:rsid w:val="008678D8"/>
    <w:rsid w:val="0089106C"/>
    <w:rsid w:val="00894BA0"/>
    <w:rsid w:val="008D70B4"/>
    <w:rsid w:val="008D79A7"/>
    <w:rsid w:val="00900F18"/>
    <w:rsid w:val="009166A9"/>
    <w:rsid w:val="009177A7"/>
    <w:rsid w:val="00935812"/>
    <w:rsid w:val="00936609"/>
    <w:rsid w:val="00950AC4"/>
    <w:rsid w:val="00956A0D"/>
    <w:rsid w:val="009716A9"/>
    <w:rsid w:val="00990C4F"/>
    <w:rsid w:val="00991A5E"/>
    <w:rsid w:val="00993A1C"/>
    <w:rsid w:val="009A1A93"/>
    <w:rsid w:val="009A717F"/>
    <w:rsid w:val="009D54AD"/>
    <w:rsid w:val="009E7045"/>
    <w:rsid w:val="009F634B"/>
    <w:rsid w:val="00A06499"/>
    <w:rsid w:val="00A22718"/>
    <w:rsid w:val="00A35956"/>
    <w:rsid w:val="00A35B4F"/>
    <w:rsid w:val="00A43428"/>
    <w:rsid w:val="00A60582"/>
    <w:rsid w:val="00A8729B"/>
    <w:rsid w:val="00AA7CC6"/>
    <w:rsid w:val="00AE534E"/>
    <w:rsid w:val="00B00ACA"/>
    <w:rsid w:val="00B10341"/>
    <w:rsid w:val="00B11188"/>
    <w:rsid w:val="00B1301C"/>
    <w:rsid w:val="00B25DCE"/>
    <w:rsid w:val="00B27C88"/>
    <w:rsid w:val="00B4456E"/>
    <w:rsid w:val="00B460A0"/>
    <w:rsid w:val="00B548BE"/>
    <w:rsid w:val="00B605B8"/>
    <w:rsid w:val="00B67177"/>
    <w:rsid w:val="00B7222F"/>
    <w:rsid w:val="00B75D45"/>
    <w:rsid w:val="00B762E0"/>
    <w:rsid w:val="00B90ACB"/>
    <w:rsid w:val="00B9196F"/>
    <w:rsid w:val="00B93321"/>
    <w:rsid w:val="00B94C05"/>
    <w:rsid w:val="00B96F96"/>
    <w:rsid w:val="00BA416C"/>
    <w:rsid w:val="00BA714B"/>
    <w:rsid w:val="00BD5D29"/>
    <w:rsid w:val="00BF4933"/>
    <w:rsid w:val="00C058EE"/>
    <w:rsid w:val="00C06D89"/>
    <w:rsid w:val="00C35D30"/>
    <w:rsid w:val="00C517D7"/>
    <w:rsid w:val="00C90149"/>
    <w:rsid w:val="00C95268"/>
    <w:rsid w:val="00C96D13"/>
    <w:rsid w:val="00C97F9A"/>
    <w:rsid w:val="00CA51DD"/>
    <w:rsid w:val="00CA6D65"/>
    <w:rsid w:val="00CA7340"/>
    <w:rsid w:val="00CC189F"/>
    <w:rsid w:val="00D043BD"/>
    <w:rsid w:val="00D048BC"/>
    <w:rsid w:val="00D048FD"/>
    <w:rsid w:val="00D22828"/>
    <w:rsid w:val="00D22CA6"/>
    <w:rsid w:val="00D31780"/>
    <w:rsid w:val="00D36DCC"/>
    <w:rsid w:val="00D57858"/>
    <w:rsid w:val="00D73B82"/>
    <w:rsid w:val="00D74CAE"/>
    <w:rsid w:val="00D87DE6"/>
    <w:rsid w:val="00D90C78"/>
    <w:rsid w:val="00D921F2"/>
    <w:rsid w:val="00DA229A"/>
    <w:rsid w:val="00DC40A4"/>
    <w:rsid w:val="00DD63C8"/>
    <w:rsid w:val="00DE084A"/>
    <w:rsid w:val="00DE6665"/>
    <w:rsid w:val="00DE76FC"/>
    <w:rsid w:val="00E115AC"/>
    <w:rsid w:val="00E2076E"/>
    <w:rsid w:val="00E24853"/>
    <w:rsid w:val="00E44A64"/>
    <w:rsid w:val="00E45C0D"/>
    <w:rsid w:val="00E47AAC"/>
    <w:rsid w:val="00E515C3"/>
    <w:rsid w:val="00E53B68"/>
    <w:rsid w:val="00E544A5"/>
    <w:rsid w:val="00E56A60"/>
    <w:rsid w:val="00E82E1F"/>
    <w:rsid w:val="00E86C19"/>
    <w:rsid w:val="00E9204F"/>
    <w:rsid w:val="00EC652C"/>
    <w:rsid w:val="00EF5296"/>
    <w:rsid w:val="00EF5A17"/>
    <w:rsid w:val="00F0185F"/>
    <w:rsid w:val="00F06248"/>
    <w:rsid w:val="00F16CFA"/>
    <w:rsid w:val="00F2224E"/>
    <w:rsid w:val="00F227BF"/>
    <w:rsid w:val="00F3052C"/>
    <w:rsid w:val="00F403F7"/>
    <w:rsid w:val="00F43126"/>
    <w:rsid w:val="00F50AE7"/>
    <w:rsid w:val="00F6297C"/>
    <w:rsid w:val="00F80C67"/>
    <w:rsid w:val="00F815FC"/>
    <w:rsid w:val="00F820EC"/>
    <w:rsid w:val="00F9420C"/>
    <w:rsid w:val="00FA4DB3"/>
    <w:rsid w:val="00FA76D9"/>
    <w:rsid w:val="00FC41CD"/>
    <w:rsid w:val="00FC7F50"/>
    <w:rsid w:val="00FD4ED5"/>
    <w:rsid w:val="00FD6B1E"/>
    <w:rsid w:val="00FE05DB"/>
    <w:rsid w:val="00FE7D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03229F"/>
    <w:pPr>
      <w:ind w:left="720"/>
      <w:contextualSpacing/>
    </w:pPr>
  </w:style>
  <w:style w:type="table" w:styleId="Tablaconcuadrcula">
    <w:name w:val="Table Grid"/>
    <w:basedOn w:val="Tablanormal"/>
    <w:rsid w:val="0003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6A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AB4"/>
    <w:rPr>
      <w:rFonts w:ascii="Tahoma" w:hAnsi="Tahoma" w:cs="Tahoma"/>
      <w:sz w:val="16"/>
      <w:szCs w:val="16"/>
    </w:rPr>
  </w:style>
  <w:style w:type="paragraph" w:styleId="Encabezado">
    <w:name w:val="header"/>
    <w:basedOn w:val="Normal"/>
    <w:link w:val="EncabezadoCar"/>
    <w:uiPriority w:val="99"/>
    <w:unhideWhenUsed/>
    <w:rsid w:val="000262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277"/>
  </w:style>
  <w:style w:type="paragraph" w:styleId="Piedepgina">
    <w:name w:val="footer"/>
    <w:basedOn w:val="Normal"/>
    <w:link w:val="PiedepginaCar"/>
    <w:uiPriority w:val="99"/>
    <w:unhideWhenUsed/>
    <w:rsid w:val="000262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277"/>
  </w:style>
  <w:style w:type="paragraph" w:styleId="Textonotapie">
    <w:name w:val="footnote text"/>
    <w:basedOn w:val="Normal"/>
    <w:link w:val="TextonotapieCar"/>
    <w:semiHidden/>
    <w:unhideWhenUsed/>
    <w:rsid w:val="007D4D42"/>
    <w:pPr>
      <w:spacing w:after="0" w:line="240" w:lineRule="auto"/>
    </w:pPr>
    <w:rPr>
      <w:sz w:val="20"/>
      <w:szCs w:val="20"/>
    </w:rPr>
  </w:style>
  <w:style w:type="character" w:customStyle="1" w:styleId="TextonotapieCar">
    <w:name w:val="Texto nota pie Car"/>
    <w:basedOn w:val="Fuentedeprrafopredeter"/>
    <w:link w:val="Textonotapie"/>
    <w:semiHidden/>
    <w:rsid w:val="007D4D42"/>
    <w:rPr>
      <w:sz w:val="20"/>
      <w:szCs w:val="20"/>
    </w:rPr>
  </w:style>
  <w:style w:type="character" w:styleId="Refdenotaalpie">
    <w:name w:val="footnote reference"/>
    <w:basedOn w:val="Fuentedeprrafopredeter"/>
    <w:uiPriority w:val="99"/>
    <w:semiHidden/>
    <w:unhideWhenUsed/>
    <w:rsid w:val="007D4D42"/>
    <w:rPr>
      <w:vertAlign w:val="superscript"/>
    </w:rPr>
  </w:style>
  <w:style w:type="character" w:styleId="Hipervnculo">
    <w:name w:val="Hyperlink"/>
    <w:basedOn w:val="Fuentedeprrafopredeter"/>
    <w:uiPriority w:val="99"/>
    <w:unhideWhenUsed/>
    <w:rsid w:val="00763B52"/>
    <w:rPr>
      <w:color w:val="0000FF" w:themeColor="hyperlink"/>
      <w:u w:val="single"/>
    </w:rPr>
  </w:style>
  <w:style w:type="character" w:styleId="Refdecomentario">
    <w:name w:val="annotation reference"/>
    <w:basedOn w:val="Fuentedeprrafopredeter"/>
    <w:uiPriority w:val="99"/>
    <w:semiHidden/>
    <w:unhideWhenUsed/>
    <w:rsid w:val="00EC652C"/>
    <w:rPr>
      <w:sz w:val="16"/>
      <w:szCs w:val="16"/>
    </w:rPr>
  </w:style>
  <w:style w:type="paragraph" w:styleId="Textocomentario">
    <w:name w:val="annotation text"/>
    <w:basedOn w:val="Normal"/>
    <w:link w:val="TextocomentarioCar"/>
    <w:uiPriority w:val="99"/>
    <w:semiHidden/>
    <w:unhideWhenUsed/>
    <w:rsid w:val="00EC6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52C"/>
    <w:rPr>
      <w:sz w:val="20"/>
      <w:szCs w:val="20"/>
    </w:rPr>
  </w:style>
  <w:style w:type="paragraph" w:styleId="Asuntodelcomentario">
    <w:name w:val="annotation subject"/>
    <w:basedOn w:val="Textocomentario"/>
    <w:next w:val="Textocomentario"/>
    <w:link w:val="AsuntodelcomentarioCar"/>
    <w:uiPriority w:val="99"/>
    <w:semiHidden/>
    <w:unhideWhenUsed/>
    <w:rsid w:val="00EC652C"/>
    <w:rPr>
      <w:b/>
      <w:bCs/>
    </w:rPr>
  </w:style>
  <w:style w:type="character" w:customStyle="1" w:styleId="AsuntodelcomentarioCar">
    <w:name w:val="Asunto del comentario Car"/>
    <w:basedOn w:val="TextocomentarioCar"/>
    <w:link w:val="Asuntodelcomentario"/>
    <w:uiPriority w:val="99"/>
    <w:semiHidden/>
    <w:rsid w:val="00EC65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03229F"/>
    <w:pPr>
      <w:ind w:left="720"/>
      <w:contextualSpacing/>
    </w:pPr>
  </w:style>
  <w:style w:type="table" w:styleId="Tablaconcuadrcula">
    <w:name w:val="Table Grid"/>
    <w:basedOn w:val="Tablanormal"/>
    <w:rsid w:val="0003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6A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AB4"/>
    <w:rPr>
      <w:rFonts w:ascii="Tahoma" w:hAnsi="Tahoma" w:cs="Tahoma"/>
      <w:sz w:val="16"/>
      <w:szCs w:val="16"/>
    </w:rPr>
  </w:style>
  <w:style w:type="paragraph" w:styleId="Encabezado">
    <w:name w:val="header"/>
    <w:basedOn w:val="Normal"/>
    <w:link w:val="EncabezadoCar"/>
    <w:uiPriority w:val="99"/>
    <w:unhideWhenUsed/>
    <w:rsid w:val="000262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277"/>
  </w:style>
  <w:style w:type="paragraph" w:styleId="Piedepgina">
    <w:name w:val="footer"/>
    <w:basedOn w:val="Normal"/>
    <w:link w:val="PiedepginaCar"/>
    <w:uiPriority w:val="99"/>
    <w:unhideWhenUsed/>
    <w:rsid w:val="000262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277"/>
  </w:style>
  <w:style w:type="paragraph" w:styleId="Textonotapie">
    <w:name w:val="footnote text"/>
    <w:basedOn w:val="Normal"/>
    <w:link w:val="TextonotapieCar"/>
    <w:semiHidden/>
    <w:unhideWhenUsed/>
    <w:rsid w:val="007D4D42"/>
    <w:pPr>
      <w:spacing w:after="0" w:line="240" w:lineRule="auto"/>
    </w:pPr>
    <w:rPr>
      <w:sz w:val="20"/>
      <w:szCs w:val="20"/>
    </w:rPr>
  </w:style>
  <w:style w:type="character" w:customStyle="1" w:styleId="TextonotapieCar">
    <w:name w:val="Texto nota pie Car"/>
    <w:basedOn w:val="Fuentedeprrafopredeter"/>
    <w:link w:val="Textonotapie"/>
    <w:semiHidden/>
    <w:rsid w:val="007D4D42"/>
    <w:rPr>
      <w:sz w:val="20"/>
      <w:szCs w:val="20"/>
    </w:rPr>
  </w:style>
  <w:style w:type="character" w:styleId="Refdenotaalpie">
    <w:name w:val="footnote reference"/>
    <w:basedOn w:val="Fuentedeprrafopredeter"/>
    <w:uiPriority w:val="99"/>
    <w:semiHidden/>
    <w:unhideWhenUsed/>
    <w:rsid w:val="007D4D42"/>
    <w:rPr>
      <w:vertAlign w:val="superscript"/>
    </w:rPr>
  </w:style>
  <w:style w:type="character" w:styleId="Hipervnculo">
    <w:name w:val="Hyperlink"/>
    <w:basedOn w:val="Fuentedeprrafopredeter"/>
    <w:uiPriority w:val="99"/>
    <w:unhideWhenUsed/>
    <w:rsid w:val="00763B52"/>
    <w:rPr>
      <w:color w:val="0000FF" w:themeColor="hyperlink"/>
      <w:u w:val="single"/>
    </w:rPr>
  </w:style>
  <w:style w:type="character" w:styleId="Refdecomentario">
    <w:name w:val="annotation reference"/>
    <w:basedOn w:val="Fuentedeprrafopredeter"/>
    <w:uiPriority w:val="99"/>
    <w:semiHidden/>
    <w:unhideWhenUsed/>
    <w:rsid w:val="00EC652C"/>
    <w:rPr>
      <w:sz w:val="16"/>
      <w:szCs w:val="16"/>
    </w:rPr>
  </w:style>
  <w:style w:type="paragraph" w:styleId="Textocomentario">
    <w:name w:val="annotation text"/>
    <w:basedOn w:val="Normal"/>
    <w:link w:val="TextocomentarioCar"/>
    <w:uiPriority w:val="99"/>
    <w:semiHidden/>
    <w:unhideWhenUsed/>
    <w:rsid w:val="00EC6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52C"/>
    <w:rPr>
      <w:sz w:val="20"/>
      <w:szCs w:val="20"/>
    </w:rPr>
  </w:style>
  <w:style w:type="paragraph" w:styleId="Asuntodelcomentario">
    <w:name w:val="annotation subject"/>
    <w:basedOn w:val="Textocomentario"/>
    <w:next w:val="Textocomentario"/>
    <w:link w:val="AsuntodelcomentarioCar"/>
    <w:uiPriority w:val="99"/>
    <w:semiHidden/>
    <w:unhideWhenUsed/>
    <w:rsid w:val="00EC652C"/>
    <w:rPr>
      <w:b/>
      <w:bCs/>
    </w:rPr>
  </w:style>
  <w:style w:type="character" w:customStyle="1" w:styleId="AsuntodelcomentarioCar">
    <w:name w:val="Asunto del comentario Car"/>
    <w:basedOn w:val="TextocomentarioCar"/>
    <w:link w:val="Asuntodelcomentario"/>
    <w:uiPriority w:val="99"/>
    <w:semiHidden/>
    <w:rsid w:val="00EC65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1087">
      <w:bodyDiv w:val="1"/>
      <w:marLeft w:val="0"/>
      <w:marRight w:val="0"/>
      <w:marTop w:val="0"/>
      <w:marBottom w:val="0"/>
      <w:divBdr>
        <w:top w:val="none" w:sz="0" w:space="0" w:color="auto"/>
        <w:left w:val="none" w:sz="0" w:space="0" w:color="auto"/>
        <w:bottom w:val="none" w:sz="0" w:space="0" w:color="auto"/>
        <w:right w:val="none" w:sz="0" w:space="0" w:color="auto"/>
      </w:divBdr>
      <w:divsChild>
        <w:div w:id="52042355">
          <w:marLeft w:val="0"/>
          <w:marRight w:val="0"/>
          <w:marTop w:val="0"/>
          <w:marBottom w:val="0"/>
          <w:divBdr>
            <w:top w:val="none" w:sz="0" w:space="0" w:color="auto"/>
            <w:left w:val="none" w:sz="0" w:space="0" w:color="auto"/>
            <w:bottom w:val="none" w:sz="0" w:space="0" w:color="auto"/>
            <w:right w:val="none" w:sz="0" w:space="0" w:color="auto"/>
          </w:divBdr>
        </w:div>
        <w:div w:id="1120800017">
          <w:marLeft w:val="0"/>
          <w:marRight w:val="0"/>
          <w:marTop w:val="0"/>
          <w:marBottom w:val="0"/>
          <w:divBdr>
            <w:top w:val="none" w:sz="0" w:space="0" w:color="auto"/>
            <w:left w:val="none" w:sz="0" w:space="0" w:color="auto"/>
            <w:bottom w:val="none" w:sz="0" w:space="0" w:color="auto"/>
            <w:right w:val="none" w:sz="0" w:space="0" w:color="auto"/>
          </w:divBdr>
        </w:div>
        <w:div w:id="1404836069">
          <w:marLeft w:val="0"/>
          <w:marRight w:val="0"/>
          <w:marTop w:val="0"/>
          <w:marBottom w:val="0"/>
          <w:divBdr>
            <w:top w:val="none" w:sz="0" w:space="0" w:color="auto"/>
            <w:left w:val="none" w:sz="0" w:space="0" w:color="auto"/>
            <w:bottom w:val="none" w:sz="0" w:space="0" w:color="auto"/>
            <w:right w:val="none" w:sz="0" w:space="0" w:color="auto"/>
          </w:divBdr>
        </w:div>
        <w:div w:id="1488668265">
          <w:marLeft w:val="0"/>
          <w:marRight w:val="0"/>
          <w:marTop w:val="0"/>
          <w:marBottom w:val="0"/>
          <w:divBdr>
            <w:top w:val="none" w:sz="0" w:space="0" w:color="auto"/>
            <w:left w:val="none" w:sz="0" w:space="0" w:color="auto"/>
            <w:bottom w:val="none" w:sz="0" w:space="0" w:color="auto"/>
            <w:right w:val="none" w:sz="0" w:space="0" w:color="auto"/>
          </w:divBdr>
        </w:div>
        <w:div w:id="1636908140">
          <w:marLeft w:val="0"/>
          <w:marRight w:val="0"/>
          <w:marTop w:val="0"/>
          <w:marBottom w:val="0"/>
          <w:divBdr>
            <w:top w:val="none" w:sz="0" w:space="0" w:color="auto"/>
            <w:left w:val="none" w:sz="0" w:space="0" w:color="auto"/>
            <w:bottom w:val="none" w:sz="0" w:space="0" w:color="auto"/>
            <w:right w:val="none" w:sz="0" w:space="0" w:color="auto"/>
          </w:divBdr>
        </w:div>
      </w:divsChild>
    </w:div>
    <w:div w:id="651909311">
      <w:bodyDiv w:val="1"/>
      <w:marLeft w:val="0"/>
      <w:marRight w:val="0"/>
      <w:marTop w:val="0"/>
      <w:marBottom w:val="0"/>
      <w:divBdr>
        <w:top w:val="none" w:sz="0" w:space="0" w:color="auto"/>
        <w:left w:val="none" w:sz="0" w:space="0" w:color="auto"/>
        <w:bottom w:val="none" w:sz="0" w:space="0" w:color="auto"/>
        <w:right w:val="none" w:sz="0" w:space="0" w:color="auto"/>
      </w:divBdr>
    </w:div>
    <w:div w:id="754788192">
      <w:bodyDiv w:val="1"/>
      <w:marLeft w:val="0"/>
      <w:marRight w:val="0"/>
      <w:marTop w:val="0"/>
      <w:marBottom w:val="0"/>
      <w:divBdr>
        <w:top w:val="none" w:sz="0" w:space="0" w:color="auto"/>
        <w:left w:val="none" w:sz="0" w:space="0" w:color="auto"/>
        <w:bottom w:val="none" w:sz="0" w:space="0" w:color="auto"/>
        <w:right w:val="none" w:sz="0" w:space="0" w:color="auto"/>
      </w:divBdr>
    </w:div>
    <w:div w:id="760758830">
      <w:bodyDiv w:val="1"/>
      <w:marLeft w:val="0"/>
      <w:marRight w:val="0"/>
      <w:marTop w:val="0"/>
      <w:marBottom w:val="0"/>
      <w:divBdr>
        <w:top w:val="none" w:sz="0" w:space="0" w:color="auto"/>
        <w:left w:val="none" w:sz="0" w:space="0" w:color="auto"/>
        <w:bottom w:val="none" w:sz="0" w:space="0" w:color="auto"/>
        <w:right w:val="none" w:sz="0" w:space="0" w:color="auto"/>
      </w:divBdr>
    </w:div>
    <w:div w:id="1039742392">
      <w:bodyDiv w:val="1"/>
      <w:marLeft w:val="0"/>
      <w:marRight w:val="0"/>
      <w:marTop w:val="0"/>
      <w:marBottom w:val="0"/>
      <w:divBdr>
        <w:top w:val="none" w:sz="0" w:space="0" w:color="auto"/>
        <w:left w:val="none" w:sz="0" w:space="0" w:color="auto"/>
        <w:bottom w:val="none" w:sz="0" w:space="0" w:color="auto"/>
        <w:right w:val="none" w:sz="0" w:space="0" w:color="auto"/>
      </w:divBdr>
    </w:div>
    <w:div w:id="1360815096">
      <w:bodyDiv w:val="1"/>
      <w:marLeft w:val="0"/>
      <w:marRight w:val="0"/>
      <w:marTop w:val="0"/>
      <w:marBottom w:val="0"/>
      <w:divBdr>
        <w:top w:val="none" w:sz="0" w:space="0" w:color="auto"/>
        <w:left w:val="none" w:sz="0" w:space="0" w:color="auto"/>
        <w:bottom w:val="none" w:sz="0" w:space="0" w:color="auto"/>
        <w:right w:val="none" w:sz="0" w:space="0" w:color="auto"/>
      </w:divBdr>
    </w:div>
    <w:div w:id="18040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B494-180D-4EB7-AD31-ABA78BF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2060</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postgrado</dc:creator>
  <cp:lastModifiedBy>Monica Velozo</cp:lastModifiedBy>
  <cp:revision>3</cp:revision>
  <cp:lastPrinted>2015-09-01T19:31:00Z</cp:lastPrinted>
  <dcterms:created xsi:type="dcterms:W3CDTF">2018-01-17T18:22:00Z</dcterms:created>
  <dcterms:modified xsi:type="dcterms:W3CDTF">2018-01-17T18:23:00Z</dcterms:modified>
</cp:coreProperties>
</file>