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96" w:rsidRDefault="00FE3CC2" w:rsidP="00562996">
      <w:pPr>
        <w:spacing w:before="73"/>
        <w:ind w:left="2268" w:right="2976" w:hanging="4"/>
        <w:jc w:val="center"/>
        <w:rPr>
          <w:rFonts w:ascii="Arial" w:eastAsia="Arial" w:hAnsi="Arial" w:cs="Arial"/>
          <w:b/>
          <w:sz w:val="24"/>
          <w:szCs w:val="24"/>
          <w:lang w:val="es-CL"/>
        </w:rPr>
      </w:pPr>
      <w:bookmarkStart w:id="0" w:name="_GoBack"/>
      <w:bookmarkEnd w:id="0"/>
      <w:r w:rsidRPr="000A58ED">
        <w:rPr>
          <w:rFonts w:ascii="Arial" w:eastAsia="Arial" w:hAnsi="Arial" w:cs="Arial"/>
          <w:b/>
          <w:sz w:val="24"/>
          <w:szCs w:val="24"/>
          <w:lang w:val="es-CL"/>
        </w:rPr>
        <w:t>PROG</w:t>
      </w:r>
      <w:r w:rsidRPr="000A58ED">
        <w:rPr>
          <w:rFonts w:ascii="Arial" w:eastAsia="Arial" w:hAnsi="Arial" w:cs="Arial"/>
          <w:b/>
          <w:spacing w:val="2"/>
          <w:sz w:val="24"/>
          <w:szCs w:val="24"/>
          <w:lang w:val="es-CL"/>
        </w:rPr>
        <w:t>R</w:t>
      </w:r>
      <w:r w:rsidRPr="000A58ED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Pr="000A58ED">
        <w:rPr>
          <w:rFonts w:ascii="Arial" w:eastAsia="Arial" w:hAnsi="Arial" w:cs="Arial"/>
          <w:b/>
          <w:spacing w:val="4"/>
          <w:sz w:val="24"/>
          <w:szCs w:val="24"/>
          <w:lang w:val="es-CL"/>
        </w:rPr>
        <w:t>M</w:t>
      </w:r>
      <w:r w:rsidRPr="000A58ED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562996">
        <w:rPr>
          <w:rFonts w:ascii="Arial" w:eastAsia="Arial" w:hAnsi="Arial" w:cs="Arial"/>
          <w:b/>
          <w:sz w:val="24"/>
          <w:szCs w:val="24"/>
          <w:lang w:val="es-CL"/>
        </w:rPr>
        <w:t xml:space="preserve"> SEMINARIO</w:t>
      </w:r>
    </w:p>
    <w:p w:rsidR="00562996" w:rsidRDefault="00562996" w:rsidP="00562996">
      <w:pPr>
        <w:spacing w:before="73"/>
        <w:ind w:left="2268" w:right="2976" w:hanging="4"/>
        <w:jc w:val="center"/>
        <w:rPr>
          <w:rFonts w:ascii="Arial" w:eastAsia="Arial" w:hAnsi="Arial" w:cs="Arial"/>
          <w:b/>
          <w:sz w:val="24"/>
          <w:szCs w:val="24"/>
          <w:lang w:val="es-CL"/>
        </w:rPr>
      </w:pPr>
      <w:r>
        <w:rPr>
          <w:rFonts w:ascii="Arial" w:eastAsia="Arial" w:hAnsi="Arial" w:cs="Arial"/>
          <w:b/>
          <w:sz w:val="24"/>
          <w:szCs w:val="24"/>
          <w:lang w:val="es-CL"/>
        </w:rPr>
        <w:t>PRECIOS DE TRANSFERENCIA</w:t>
      </w:r>
    </w:p>
    <w:p w:rsidR="00373C0F" w:rsidRPr="000A58ED" w:rsidRDefault="000A58ED" w:rsidP="00562996">
      <w:pPr>
        <w:spacing w:before="73"/>
        <w:ind w:left="2268" w:right="2976" w:hanging="4"/>
        <w:jc w:val="center"/>
        <w:rPr>
          <w:rFonts w:ascii="Arial" w:eastAsia="Arial" w:hAnsi="Arial" w:cs="Arial"/>
          <w:sz w:val="24"/>
          <w:szCs w:val="24"/>
          <w:lang w:val="es-CL"/>
        </w:rPr>
      </w:pPr>
      <w:r w:rsidRPr="000A58ED">
        <w:rPr>
          <w:rFonts w:ascii="Arial" w:eastAsia="Arial" w:hAnsi="Arial" w:cs="Arial"/>
          <w:b/>
          <w:sz w:val="24"/>
          <w:szCs w:val="24"/>
          <w:lang w:val="es-CL"/>
        </w:rPr>
        <w:t>PRIMER</w:t>
      </w:r>
      <w:r w:rsidR="00FE3CC2" w:rsidRPr="000A58ED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S</w:t>
      </w:r>
      <w:r w:rsidR="00FE3CC2" w:rsidRPr="000A58ED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FE3CC2" w:rsidRPr="000A58ED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M</w:t>
      </w:r>
      <w:r w:rsidR="00FE3CC2" w:rsidRPr="000A58ED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FE3CC2" w:rsidRPr="000A58ED">
        <w:rPr>
          <w:rFonts w:ascii="Arial" w:eastAsia="Arial" w:hAnsi="Arial" w:cs="Arial"/>
          <w:b/>
          <w:sz w:val="24"/>
          <w:szCs w:val="24"/>
          <w:lang w:val="es-CL"/>
        </w:rPr>
        <w:t>ST</w:t>
      </w:r>
      <w:r w:rsidR="00FE3CC2" w:rsidRPr="000A58ED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R</w:t>
      </w:r>
      <w:r w:rsidR="00FE3CC2" w:rsidRPr="000A58ED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FE3CC2" w:rsidRPr="000A58ED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2</w:t>
      </w:r>
      <w:r w:rsidR="00FE3CC2" w:rsidRPr="000A58ED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0</w:t>
      </w:r>
      <w:r w:rsidR="00FE3CC2" w:rsidRPr="000A58ED">
        <w:rPr>
          <w:rFonts w:ascii="Arial" w:eastAsia="Arial" w:hAnsi="Arial" w:cs="Arial"/>
          <w:b/>
          <w:spacing w:val="1"/>
          <w:sz w:val="24"/>
          <w:szCs w:val="24"/>
          <w:lang w:val="es-CL"/>
        </w:rPr>
        <w:t>1</w:t>
      </w:r>
      <w:r w:rsidR="00FE3CC2" w:rsidRPr="000A58ED">
        <w:rPr>
          <w:rFonts w:ascii="Arial" w:eastAsia="Arial" w:hAnsi="Arial" w:cs="Arial"/>
          <w:b/>
          <w:sz w:val="24"/>
          <w:szCs w:val="24"/>
          <w:lang w:val="es-CL"/>
        </w:rPr>
        <w:t>7</w:t>
      </w:r>
    </w:p>
    <w:p w:rsidR="00373C0F" w:rsidRPr="000A58ED" w:rsidRDefault="00373C0F">
      <w:pPr>
        <w:spacing w:before="1" w:line="140" w:lineRule="exact"/>
        <w:rPr>
          <w:sz w:val="15"/>
          <w:szCs w:val="15"/>
          <w:lang w:val="es-CL"/>
        </w:rPr>
      </w:pPr>
    </w:p>
    <w:p w:rsidR="00373C0F" w:rsidRPr="000A58ED" w:rsidRDefault="00373C0F">
      <w:pPr>
        <w:spacing w:line="200" w:lineRule="exact"/>
        <w:rPr>
          <w:lang w:val="es-CL"/>
        </w:rPr>
      </w:pPr>
    </w:p>
    <w:p w:rsidR="00373C0F" w:rsidRPr="000A58ED" w:rsidRDefault="00373C0F">
      <w:pPr>
        <w:spacing w:line="200" w:lineRule="exact"/>
        <w:rPr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481"/>
      </w:tblGrid>
      <w:tr w:rsidR="00373C0F" w:rsidRPr="00A72C69" w:rsidTr="006B186E">
        <w:trPr>
          <w:trHeight w:hRule="exact" w:val="97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mbre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Pr="00A72C69" w:rsidRDefault="00FE3CC2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A72C69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Precios de Transferencia</w:t>
            </w:r>
          </w:p>
          <w:p w:rsidR="006B186E" w:rsidRPr="006B186E" w:rsidRDefault="006B186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Cs w:val="24"/>
                <w:lang w:val="es-CL"/>
              </w:rPr>
              <w:t>Equivalente a “Seminarios y Casos Prácticos” según art. 8 Decreto 004178</w:t>
            </w:r>
          </w:p>
        </w:tc>
      </w:tr>
      <w:tr w:rsidR="00373C0F">
        <w:trPr>
          <w:trHeight w:hRule="exact" w:val="8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Pr="000A58ED" w:rsidRDefault="00FE3CC2">
            <w:pPr>
              <w:spacing w:before="1" w:line="260" w:lineRule="exact"/>
              <w:ind w:left="102" w:right="545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Natural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za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(o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ig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,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o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ti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o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lec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0A58ED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v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)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373C0F">
        <w:trPr>
          <w:trHeight w:hRule="exact" w:val="51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Requi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itos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373C0F">
        <w:trPr>
          <w:trHeight w:hRule="exact" w:val="521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ditos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cré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spellEnd"/>
          </w:p>
        </w:tc>
      </w:tr>
      <w:tr w:rsidR="00373C0F" w:rsidRPr="00A72C69" w:rsidTr="000E5692">
        <w:trPr>
          <w:trHeight w:hRule="exact" w:val="1516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ión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Pr="000A58ED" w:rsidRDefault="00FE3CC2" w:rsidP="000E569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El 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A426EE">
              <w:rPr>
                <w:rFonts w:ascii="Arial" w:eastAsia="Arial" w:hAnsi="Arial" w:cs="Arial"/>
                <w:sz w:val="24"/>
                <w:szCs w:val="24"/>
                <w:lang w:val="es-CL"/>
              </w:rPr>
              <w:t>seminario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se </w:t>
            </w:r>
            <w:r w:rsidRPr="000A58ED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ne </w:t>
            </w:r>
            <w:r w:rsidRPr="000A58ED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 </w:t>
            </w:r>
            <w:r w:rsidRPr="000A58ED">
              <w:rPr>
                <w:rFonts w:ascii="Arial" w:eastAsia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4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clas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s, 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 </w:t>
            </w:r>
            <w:r w:rsidRPr="000A58ED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</w:t>
            </w:r>
            <w:r w:rsidRPr="000A58ED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les </w:t>
            </w:r>
            <w:r w:rsidRPr="000A58ED">
              <w:rPr>
                <w:rFonts w:ascii="Arial" w:eastAsia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los</w:t>
            </w:r>
            <w:r w:rsidR="00A426E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lumn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 </w:t>
            </w:r>
            <w:r w:rsidRPr="000A58ED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ud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iar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á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  </w:t>
            </w:r>
            <w:r w:rsidRPr="000A58ED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los  </w:t>
            </w:r>
            <w:r w:rsidRPr="000A58ED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 </w:t>
            </w:r>
            <w:r w:rsidRPr="000A58ED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g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rales  </w:t>
            </w:r>
            <w:r w:rsidRPr="000A58ED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de Precios de Transferencia</w:t>
            </w:r>
            <w:r w:rsidR="000E569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en las operaciones transfronterizas entre empresas que forman parte de un mismo grupo multinacional.</w:t>
            </w:r>
          </w:p>
        </w:tc>
      </w:tr>
      <w:tr w:rsidR="00373C0F" w:rsidRPr="00A72C69" w:rsidTr="006B186E">
        <w:trPr>
          <w:trHeight w:hRule="exact" w:val="8809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0F" w:rsidRDefault="00FE3CC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II.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nidos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1.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Introducción.</w:t>
            </w:r>
          </w:p>
          <w:p w:rsidR="009B2089" w:rsidRP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2.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El Principio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Arm’s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Length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: Concepto. Historia. Declaración del principio en el Artículo 9 del Modelo de Convenio Fiscal sobre la Renta y el Patrimonio de la OECD. Estado actual del principio de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arm's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length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en el ámbito internacional.</w:t>
            </w:r>
          </w:p>
          <w:p w:rsidR="009B2089" w:rsidRP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464CB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3.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Directrices o Guías de la OECD para la aplicación del principio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Arm’s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Length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.</w:t>
            </w:r>
          </w:p>
          <w:p w:rsid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a.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Análisis de comparabilidad. Razones que justifican el análisis de comparabilidad. Factores de comparabilidad (Características de los bienes o servicios, Análisis funcional, Términos contractuales, Circunstancias económicas, Estrategias de negocios).</w:t>
            </w: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b.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Identificación de las transacciones realmente efectuadas. </w:t>
            </w: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c.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Evaluación de transacciones separadas y combinadas. </w:t>
            </w: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d.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Uso del rango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Arm’s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Length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.</w:t>
            </w: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e.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Uso de información de varios años.</w:t>
            </w:r>
          </w:p>
          <w:p w:rsid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f.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Tratamiento de las pérdidas.</w:t>
            </w: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g.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El efecto de las políticas gubernamentales (fijación de tipos de cambio, precios, tasas de interés, repatriación de capitales,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etc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).</w:t>
            </w:r>
          </w:p>
          <w:p w:rsidR="009B2089" w:rsidRP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h.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Compensaciones intencionales entre empresas relacionadas.</w:t>
            </w:r>
          </w:p>
          <w:p w:rsid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i.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Utilización de valoraciones aduaneras para los efectos del impuesto a la renta.</w:t>
            </w:r>
          </w:p>
          <w:p w:rsidR="009B2089" w:rsidRPr="000E5692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</w:tc>
      </w:tr>
      <w:tr w:rsidR="009B2089" w:rsidRPr="00A72C69" w:rsidTr="006B186E">
        <w:trPr>
          <w:trHeight w:hRule="exact" w:val="5124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089" w:rsidRPr="009B2089" w:rsidRDefault="009B2089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089" w:rsidRDefault="009B2089" w:rsidP="009B2089">
            <w:pPr>
              <w:ind w:left="665" w:right="262" w:hanging="284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j.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 xml:space="preserve">Uso de los métodos de precios de transferencia: Métodos de transacción tradicionales (Método de precio comparable no controlado (CUP), Método del precio de reventa (RPM) y Método de costo más margen (CPLM)); Métodos de utilidad transaccional (Método de división de utilidades (PSM) y Método transaccional de márgenes netos (TNMM)); Métodos que no se basan en el principio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Arm’s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Length</w:t>
            </w:r>
            <w:proofErr w:type="spellEnd"/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(Fórmula global de distribución).</w:t>
            </w:r>
          </w:p>
          <w:p w:rsidR="009B2089" w:rsidRDefault="009B2089" w:rsidP="00142141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4.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Aspectos generales de un estudio de precios de transferencia (metodología).</w:t>
            </w:r>
          </w:p>
          <w:p w:rsidR="009B2089" w:rsidRP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9B2089" w:rsidRPr="009B2089" w:rsidRDefault="009B2089" w:rsidP="009B2089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>5.</w:t>
            </w:r>
            <w:r w:rsidRPr="009B2089">
              <w:rPr>
                <w:rFonts w:ascii="Arial" w:eastAsia="Arial" w:hAnsi="Arial" w:cs="Arial"/>
                <w:sz w:val="24"/>
                <w:szCs w:val="24"/>
                <w:lang w:val="es-CL"/>
              </w:rPr>
              <w:tab/>
              <w:t>Análisis del artículo 41E de la Ley sobre Impuesto a la Renta, a la luz de lo analizado en el curso y de las interpretaciones del Servicio de Impuestos Internos.</w:t>
            </w:r>
          </w:p>
        </w:tc>
      </w:tr>
    </w:tbl>
    <w:p w:rsidR="000F499C" w:rsidRPr="000E5692" w:rsidRDefault="000F499C" w:rsidP="000F499C">
      <w:pPr>
        <w:spacing w:before="2" w:line="80" w:lineRule="exact"/>
        <w:rPr>
          <w:sz w:val="9"/>
          <w:szCs w:val="9"/>
          <w:lang w:val="es-CL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6481"/>
      </w:tblGrid>
      <w:tr w:rsidR="000F499C" w:rsidRPr="00A72C69" w:rsidTr="006B186E">
        <w:trPr>
          <w:trHeight w:hRule="exact" w:val="1021"/>
        </w:trPr>
        <w:tc>
          <w:tcPr>
            <w:tcW w:w="3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99C" w:rsidRDefault="000F499C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Régi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</w:p>
          <w:p w:rsidR="000F499C" w:rsidRDefault="000F499C" w:rsidP="0054226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99C" w:rsidRPr="000A58ED" w:rsidRDefault="000F499C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Lo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e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ud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sistir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7</w:t>
            </w:r>
            <w:r w:rsidRPr="000A58ED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>5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%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 c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s.</w:t>
            </w:r>
          </w:p>
        </w:tc>
      </w:tr>
      <w:tr w:rsidR="000F499C" w:rsidTr="006B186E">
        <w:trPr>
          <w:trHeight w:hRule="exact" w:val="1577"/>
        </w:trPr>
        <w:tc>
          <w:tcPr>
            <w:tcW w:w="3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99C" w:rsidRPr="000A58ED" w:rsidRDefault="000F499C" w:rsidP="0054226D">
            <w:pPr>
              <w:spacing w:before="3" w:line="260" w:lineRule="exact"/>
              <w:ind w:left="102" w:right="704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IV.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C</w:t>
            </w:r>
            <w:r w:rsidRPr="000A58E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n</w:t>
            </w:r>
            <w:r w:rsidRPr="000A58E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rol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y pon</w:t>
            </w:r>
            <w:r w:rsidRPr="000A58E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d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ac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ión de</w:t>
            </w:r>
            <w:r w:rsidRPr="000A58E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l</w:t>
            </w:r>
            <w:r w:rsidRPr="000A58ED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os</w:t>
            </w:r>
          </w:p>
          <w:p w:rsidR="000F499C" w:rsidRDefault="000F499C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6EE" w:rsidRPr="00562996" w:rsidRDefault="00A426E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A426EE" w:rsidRDefault="00A426E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Sin evaluación. El seminario se considera aprobado si el alumno cumple el requisito de asistencia.</w:t>
            </w:r>
          </w:p>
          <w:p w:rsidR="00A426EE" w:rsidRPr="00A426EE" w:rsidRDefault="00A426E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0F499C" w:rsidRDefault="00A426E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Clases</w:t>
            </w:r>
            <w:proofErr w:type="spellEnd"/>
            <w:r w:rsidR="000F499C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0F499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1, 8, 15, 22 de </w:t>
            </w:r>
            <w:proofErr w:type="spellStart"/>
            <w:r w:rsidR="000F499C">
              <w:rPr>
                <w:rFonts w:ascii="Arial" w:eastAsia="Arial" w:hAnsi="Arial" w:cs="Arial"/>
                <w:spacing w:val="-1"/>
                <w:sz w:val="24"/>
                <w:szCs w:val="24"/>
              </w:rPr>
              <w:t>junio</w:t>
            </w:r>
            <w:proofErr w:type="spellEnd"/>
            <w:r w:rsidR="000F499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2017</w:t>
            </w:r>
          </w:p>
        </w:tc>
      </w:tr>
      <w:tr w:rsidR="000F499C" w:rsidRPr="00A72C69" w:rsidTr="00A40443">
        <w:trPr>
          <w:trHeight w:hRule="exact" w:val="2236"/>
        </w:trPr>
        <w:tc>
          <w:tcPr>
            <w:tcW w:w="3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99C" w:rsidRDefault="000F499C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Bibliograf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86E" w:rsidRDefault="006B186E" w:rsidP="0054226D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Servicio de Impuestos Internos, Dirección Nacional, Circular N° 29 de 14 de junio de 2013.</w:t>
            </w:r>
          </w:p>
          <w:p w:rsidR="006B186E" w:rsidRDefault="006B186E" w:rsidP="0054226D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</w:p>
          <w:p w:rsidR="000F499C" w:rsidRPr="000A58ED" w:rsidRDefault="000F499C" w:rsidP="0054226D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La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</w:t>
            </w:r>
            <w:r w:rsidRPr="000A58ED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lec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tu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ras</w:t>
            </w:r>
            <w:r w:rsidRPr="000A58ED">
              <w:rPr>
                <w:rFonts w:ascii="Arial" w:eastAsia="Arial" w:hAnsi="Arial" w:cs="Arial"/>
                <w:spacing w:val="66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pa</w:t>
            </w:r>
            <w:r w:rsidRPr="000A58ED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a 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ad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a 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cla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y 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les c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omp</w:t>
            </w:r>
            <w:r w:rsidRPr="000A58ED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l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m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en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á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n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f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 a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é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0A58ED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la 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la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f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m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a</w:t>
            </w:r>
            <w:r w:rsidRPr="000A58ED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U</w:t>
            </w:r>
            <w:r w:rsidRPr="000A58ED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-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0A58ED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0A58ED">
              <w:rPr>
                <w:rFonts w:ascii="Arial" w:eastAsia="Arial" w:hAnsi="Arial" w:cs="Arial"/>
                <w:sz w:val="24"/>
                <w:szCs w:val="24"/>
                <w:lang w:val="es-CL"/>
              </w:rPr>
              <w:t>rsos.</w:t>
            </w:r>
          </w:p>
        </w:tc>
      </w:tr>
    </w:tbl>
    <w:p w:rsidR="000F499C" w:rsidRPr="000A58ED" w:rsidRDefault="000F499C" w:rsidP="000F499C">
      <w:pPr>
        <w:rPr>
          <w:rFonts w:ascii="Arial" w:eastAsia="Arial" w:hAnsi="Arial" w:cs="Arial"/>
          <w:sz w:val="24"/>
          <w:szCs w:val="24"/>
          <w:lang w:val="es-CL"/>
        </w:rPr>
      </w:pPr>
    </w:p>
    <w:p w:rsidR="00FE3CC2" w:rsidRPr="000A58ED" w:rsidRDefault="00FE3CC2">
      <w:pPr>
        <w:rPr>
          <w:lang w:val="es-CL"/>
        </w:rPr>
      </w:pPr>
    </w:p>
    <w:sectPr w:rsidR="00FE3CC2" w:rsidRPr="000A58ED">
      <w:pgSz w:w="11920" w:h="16840"/>
      <w:pgMar w:top="1300" w:right="6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8B" w:rsidRDefault="00192F8B" w:rsidP="000F499C">
      <w:r>
        <w:separator/>
      </w:r>
    </w:p>
  </w:endnote>
  <w:endnote w:type="continuationSeparator" w:id="0">
    <w:p w:rsidR="00192F8B" w:rsidRDefault="00192F8B" w:rsidP="000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8B" w:rsidRDefault="00192F8B" w:rsidP="000F499C">
      <w:r>
        <w:separator/>
      </w:r>
    </w:p>
  </w:footnote>
  <w:footnote w:type="continuationSeparator" w:id="0">
    <w:p w:rsidR="00192F8B" w:rsidRDefault="00192F8B" w:rsidP="000F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016"/>
    <w:multiLevelType w:val="hybridMultilevel"/>
    <w:tmpl w:val="4BA42CC4"/>
    <w:lvl w:ilvl="0" w:tplc="8A6E2A90">
      <w:start w:val="1"/>
      <w:numFmt w:val="lowerLetter"/>
      <w:lvlText w:val="%1)"/>
      <w:lvlJc w:val="left"/>
      <w:pPr>
        <w:ind w:left="3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63" w:hanging="360"/>
      </w:pPr>
    </w:lvl>
    <w:lvl w:ilvl="2" w:tplc="0C0A001B" w:tentative="1">
      <w:start w:val="1"/>
      <w:numFmt w:val="lowerRoman"/>
      <w:lvlText w:val="%3."/>
      <w:lvlJc w:val="right"/>
      <w:pPr>
        <w:ind w:left="4883" w:hanging="180"/>
      </w:pPr>
    </w:lvl>
    <w:lvl w:ilvl="3" w:tplc="0C0A000F" w:tentative="1">
      <w:start w:val="1"/>
      <w:numFmt w:val="decimal"/>
      <w:lvlText w:val="%4."/>
      <w:lvlJc w:val="left"/>
      <w:pPr>
        <w:ind w:left="5603" w:hanging="360"/>
      </w:pPr>
    </w:lvl>
    <w:lvl w:ilvl="4" w:tplc="0C0A0019" w:tentative="1">
      <w:start w:val="1"/>
      <w:numFmt w:val="lowerLetter"/>
      <w:lvlText w:val="%5."/>
      <w:lvlJc w:val="left"/>
      <w:pPr>
        <w:ind w:left="6323" w:hanging="360"/>
      </w:pPr>
    </w:lvl>
    <w:lvl w:ilvl="5" w:tplc="0C0A001B" w:tentative="1">
      <w:start w:val="1"/>
      <w:numFmt w:val="lowerRoman"/>
      <w:lvlText w:val="%6."/>
      <w:lvlJc w:val="right"/>
      <w:pPr>
        <w:ind w:left="7043" w:hanging="180"/>
      </w:pPr>
    </w:lvl>
    <w:lvl w:ilvl="6" w:tplc="0C0A000F" w:tentative="1">
      <w:start w:val="1"/>
      <w:numFmt w:val="decimal"/>
      <w:lvlText w:val="%7."/>
      <w:lvlJc w:val="left"/>
      <w:pPr>
        <w:ind w:left="7763" w:hanging="360"/>
      </w:pPr>
    </w:lvl>
    <w:lvl w:ilvl="7" w:tplc="0C0A0019" w:tentative="1">
      <w:start w:val="1"/>
      <w:numFmt w:val="lowerLetter"/>
      <w:lvlText w:val="%8."/>
      <w:lvlJc w:val="left"/>
      <w:pPr>
        <w:ind w:left="8483" w:hanging="360"/>
      </w:pPr>
    </w:lvl>
    <w:lvl w:ilvl="8" w:tplc="0C0A001B" w:tentative="1">
      <w:start w:val="1"/>
      <w:numFmt w:val="lowerRoman"/>
      <w:lvlText w:val="%9."/>
      <w:lvlJc w:val="right"/>
      <w:pPr>
        <w:ind w:left="9203" w:hanging="180"/>
      </w:pPr>
    </w:lvl>
  </w:abstractNum>
  <w:abstractNum w:abstractNumId="1">
    <w:nsid w:val="14941ABC"/>
    <w:multiLevelType w:val="hybridMultilevel"/>
    <w:tmpl w:val="A4D4ED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FD9"/>
    <w:multiLevelType w:val="multilevel"/>
    <w:tmpl w:val="0FACAC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EC80BFB"/>
    <w:multiLevelType w:val="hybridMultilevel"/>
    <w:tmpl w:val="952AD6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12C52"/>
    <w:multiLevelType w:val="hybridMultilevel"/>
    <w:tmpl w:val="79427868"/>
    <w:lvl w:ilvl="0" w:tplc="FCF2872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5DB94D1F"/>
    <w:multiLevelType w:val="hybridMultilevel"/>
    <w:tmpl w:val="565EC18A"/>
    <w:lvl w:ilvl="0" w:tplc="CAF0EE3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600B8"/>
    <w:multiLevelType w:val="hybridMultilevel"/>
    <w:tmpl w:val="96188DA2"/>
    <w:lvl w:ilvl="0" w:tplc="17E02F9A">
      <w:start w:val="1"/>
      <w:numFmt w:val="lowerLetter"/>
      <w:lvlText w:val="%1)"/>
      <w:lvlJc w:val="left"/>
      <w:pPr>
        <w:ind w:left="3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63" w:hanging="360"/>
      </w:pPr>
    </w:lvl>
    <w:lvl w:ilvl="2" w:tplc="0C0A001B" w:tentative="1">
      <w:start w:val="1"/>
      <w:numFmt w:val="lowerRoman"/>
      <w:lvlText w:val="%3."/>
      <w:lvlJc w:val="right"/>
      <w:pPr>
        <w:ind w:left="4883" w:hanging="180"/>
      </w:pPr>
    </w:lvl>
    <w:lvl w:ilvl="3" w:tplc="0C0A000F" w:tentative="1">
      <w:start w:val="1"/>
      <w:numFmt w:val="decimal"/>
      <w:lvlText w:val="%4."/>
      <w:lvlJc w:val="left"/>
      <w:pPr>
        <w:ind w:left="5603" w:hanging="360"/>
      </w:pPr>
    </w:lvl>
    <w:lvl w:ilvl="4" w:tplc="0C0A0019" w:tentative="1">
      <w:start w:val="1"/>
      <w:numFmt w:val="lowerLetter"/>
      <w:lvlText w:val="%5."/>
      <w:lvlJc w:val="left"/>
      <w:pPr>
        <w:ind w:left="6323" w:hanging="360"/>
      </w:pPr>
    </w:lvl>
    <w:lvl w:ilvl="5" w:tplc="0C0A001B" w:tentative="1">
      <w:start w:val="1"/>
      <w:numFmt w:val="lowerRoman"/>
      <w:lvlText w:val="%6."/>
      <w:lvlJc w:val="right"/>
      <w:pPr>
        <w:ind w:left="7043" w:hanging="180"/>
      </w:pPr>
    </w:lvl>
    <w:lvl w:ilvl="6" w:tplc="0C0A000F" w:tentative="1">
      <w:start w:val="1"/>
      <w:numFmt w:val="decimal"/>
      <w:lvlText w:val="%7."/>
      <w:lvlJc w:val="left"/>
      <w:pPr>
        <w:ind w:left="7763" w:hanging="360"/>
      </w:pPr>
    </w:lvl>
    <w:lvl w:ilvl="7" w:tplc="0C0A0019" w:tentative="1">
      <w:start w:val="1"/>
      <w:numFmt w:val="lowerLetter"/>
      <w:lvlText w:val="%8."/>
      <w:lvlJc w:val="left"/>
      <w:pPr>
        <w:ind w:left="8483" w:hanging="360"/>
      </w:pPr>
    </w:lvl>
    <w:lvl w:ilvl="8" w:tplc="0C0A001B" w:tentative="1">
      <w:start w:val="1"/>
      <w:numFmt w:val="lowerRoman"/>
      <w:lvlText w:val="%9."/>
      <w:lvlJc w:val="right"/>
      <w:pPr>
        <w:ind w:left="920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F"/>
    <w:rsid w:val="00056399"/>
    <w:rsid w:val="000A58ED"/>
    <w:rsid w:val="000A62E1"/>
    <w:rsid w:val="000E5692"/>
    <w:rsid w:val="000F499C"/>
    <w:rsid w:val="00142141"/>
    <w:rsid w:val="00192F8B"/>
    <w:rsid w:val="00211152"/>
    <w:rsid w:val="00237F1E"/>
    <w:rsid w:val="00255539"/>
    <w:rsid w:val="002A54ED"/>
    <w:rsid w:val="003557FC"/>
    <w:rsid w:val="00373C0F"/>
    <w:rsid w:val="003F0238"/>
    <w:rsid w:val="00464CB9"/>
    <w:rsid w:val="004C21E3"/>
    <w:rsid w:val="00562996"/>
    <w:rsid w:val="0069083F"/>
    <w:rsid w:val="006B186E"/>
    <w:rsid w:val="009033C5"/>
    <w:rsid w:val="00910E50"/>
    <w:rsid w:val="009B2089"/>
    <w:rsid w:val="00A40443"/>
    <w:rsid w:val="00A426EE"/>
    <w:rsid w:val="00A72C69"/>
    <w:rsid w:val="00B75A66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3F02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49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99C"/>
  </w:style>
  <w:style w:type="paragraph" w:styleId="Piedepgina">
    <w:name w:val="footer"/>
    <w:basedOn w:val="Normal"/>
    <w:link w:val="PiedepginaCar"/>
    <w:uiPriority w:val="99"/>
    <w:unhideWhenUsed/>
    <w:rsid w:val="000F49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3F02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49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99C"/>
  </w:style>
  <w:style w:type="paragraph" w:styleId="Piedepgina">
    <w:name w:val="footer"/>
    <w:basedOn w:val="Normal"/>
    <w:link w:val="PiedepginaCar"/>
    <w:uiPriority w:val="99"/>
    <w:unhideWhenUsed/>
    <w:rsid w:val="000F49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22B4A-9E45-41E3-92D0-4CFF21E9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Saavedra</dc:creator>
  <cp:lastModifiedBy>Monica Velozo</cp:lastModifiedBy>
  <cp:revision>2</cp:revision>
  <dcterms:created xsi:type="dcterms:W3CDTF">2017-01-03T19:16:00Z</dcterms:created>
  <dcterms:modified xsi:type="dcterms:W3CDTF">2017-01-03T19:16:00Z</dcterms:modified>
</cp:coreProperties>
</file>