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B" w:rsidRPr="005401E3" w:rsidRDefault="008B721B" w:rsidP="008B721B">
      <w:pPr>
        <w:jc w:val="both"/>
        <w:rPr>
          <w:rFonts w:ascii="Times New Roman" w:hAnsi="Times New Roman" w:cs="Times New Roman"/>
          <w:b/>
        </w:rPr>
      </w:pPr>
    </w:p>
    <w:p w:rsidR="008B721B" w:rsidRPr="005401E3" w:rsidRDefault="008B721B" w:rsidP="008B72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1E3">
        <w:rPr>
          <w:rFonts w:ascii="Times New Roman" w:hAnsi="Times New Roman" w:cs="Times New Roman"/>
          <w:b/>
          <w:sz w:val="32"/>
          <w:szCs w:val="32"/>
        </w:rPr>
        <w:t>Programa</w:t>
      </w:r>
      <w:r>
        <w:rPr>
          <w:rFonts w:ascii="Times New Roman" w:hAnsi="Times New Roman" w:cs="Times New Roman"/>
          <w:b/>
          <w:sz w:val="32"/>
          <w:szCs w:val="32"/>
        </w:rPr>
        <w:t xml:space="preserve"> MDPNE</w:t>
      </w:r>
    </w:p>
    <w:p w:rsidR="008B721B" w:rsidRPr="008F65BF" w:rsidRDefault="008B721B" w:rsidP="008B721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Derecho penal material (curso 1)</w:t>
      </w:r>
    </w:p>
    <w:p w:rsidR="008B721B" w:rsidRPr="008F65BF" w:rsidRDefault="008B721B" w:rsidP="008B721B">
      <w:pPr>
        <w:jc w:val="center"/>
        <w:rPr>
          <w:rFonts w:ascii="Times New Roman" w:hAnsi="Times New Roman" w:cs="Times New Roman"/>
          <w:b/>
          <w:u w:val="single"/>
        </w:rPr>
      </w:pPr>
      <w:r w:rsidRPr="008F65B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1er. </w:t>
      </w:r>
      <w:r w:rsidRPr="008F65BF">
        <w:rPr>
          <w:rFonts w:ascii="Times New Roman" w:hAnsi="Times New Roman" w:cs="Times New Roman"/>
          <w:b/>
          <w:u w:val="single"/>
        </w:rPr>
        <w:t>Semestre Año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8B721B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8B721B" w:rsidRPr="005401E3" w:rsidTr="003371F4">
        <w:trPr>
          <w:trHeight w:val="140"/>
        </w:trPr>
        <w:tc>
          <w:tcPr>
            <w:tcW w:w="8658" w:type="dxa"/>
          </w:tcPr>
          <w:p w:rsidR="008B721B" w:rsidRDefault="008B721B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B59">
              <w:rPr>
                <w:rFonts w:ascii="Times New Roman" w:hAnsi="Times New Roman" w:cs="Times New Roman"/>
                <w:b/>
              </w:rPr>
              <w:t>Nombre</w:t>
            </w:r>
            <w:r>
              <w:rPr>
                <w:rFonts w:ascii="Times New Roman" w:hAnsi="Times New Roman" w:cs="Times New Roman"/>
                <w:b/>
              </w:rPr>
              <w:t xml:space="preserve"> del</w:t>
            </w:r>
            <w:r w:rsidRPr="00F73B59">
              <w:rPr>
                <w:rFonts w:ascii="Times New Roman" w:hAnsi="Times New Roman" w:cs="Times New Roman"/>
                <w:b/>
              </w:rPr>
              <w:t xml:space="preserve"> </w:t>
            </w:r>
            <w:r w:rsidRPr="0002012F">
              <w:rPr>
                <w:rFonts w:ascii="Times New Roman" w:hAnsi="Times New Roman" w:cs="Times New Roman"/>
                <w:b/>
                <w:u w:val="single"/>
              </w:rPr>
              <w:t>curso</w:t>
            </w:r>
            <w:r w:rsidRPr="00F73B5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Derecho penal material</w:t>
            </w:r>
          </w:p>
          <w:p w:rsidR="008B721B" w:rsidRPr="00EE6BFB" w:rsidRDefault="008B721B" w:rsidP="003371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721B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8"/>
      </w:tblGrid>
      <w:tr w:rsidR="008B721B" w:rsidRPr="005401E3" w:rsidTr="003371F4">
        <w:trPr>
          <w:trHeight w:val="265"/>
        </w:trPr>
        <w:tc>
          <w:tcPr>
            <w:tcW w:w="8598" w:type="dxa"/>
          </w:tcPr>
          <w:p w:rsidR="008B721B" w:rsidRDefault="008B721B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del p</w:t>
            </w:r>
            <w:r w:rsidRPr="00F73B59">
              <w:rPr>
                <w:rFonts w:ascii="Times New Roman" w:hAnsi="Times New Roman" w:cs="Times New Roman"/>
                <w:b/>
              </w:rPr>
              <w:t>rofesor</w:t>
            </w:r>
            <w:r>
              <w:rPr>
                <w:rFonts w:ascii="Times New Roman" w:hAnsi="Times New Roman" w:cs="Times New Roman"/>
                <w:b/>
              </w:rPr>
              <w:t>/a</w:t>
            </w:r>
            <w:r w:rsidRPr="00F73B59">
              <w:rPr>
                <w:rFonts w:ascii="Times New Roman" w:hAnsi="Times New Roman" w:cs="Times New Roman"/>
                <w:b/>
              </w:rPr>
              <w:t>:</w:t>
            </w:r>
            <w:r w:rsidR="00356C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6CE8" w:rsidRDefault="00356CE8" w:rsidP="003371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56CE8" w:rsidRDefault="00356CE8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 responsable: Prof. Vivian R. Bullemore G.</w:t>
            </w:r>
          </w:p>
          <w:p w:rsidR="00356CE8" w:rsidRDefault="00356CE8" w:rsidP="003371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56CE8" w:rsidRDefault="00356CE8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Vivian R. Bullemore G. Una sesión, 3 horas lectivas</w:t>
            </w:r>
          </w:p>
          <w:p w:rsidR="00356CE8" w:rsidRDefault="00356CE8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Felipe Abbott Matus. </w:t>
            </w:r>
            <w:r w:rsidR="0002012F">
              <w:rPr>
                <w:rFonts w:ascii="Times New Roman" w:hAnsi="Times New Roman" w:cs="Times New Roman"/>
                <w:b/>
              </w:rPr>
              <w:t>Una sesión, 3 horas lectivas</w:t>
            </w:r>
          </w:p>
          <w:p w:rsidR="008B721B" w:rsidRDefault="00356CE8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</w:t>
            </w:r>
            <w:r w:rsidR="0002012F">
              <w:rPr>
                <w:rFonts w:ascii="Times New Roman" w:hAnsi="Times New Roman" w:cs="Times New Roman"/>
                <w:b/>
              </w:rPr>
              <w:t xml:space="preserve"> Antonio Bascuñán Rodríguez. Dos sesiones, 6 horas lectivas</w:t>
            </w:r>
          </w:p>
          <w:p w:rsidR="0002012F" w:rsidRDefault="00356CE8" w:rsidP="000201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r w:rsidR="00032BB4">
              <w:rPr>
                <w:rFonts w:ascii="Times New Roman" w:hAnsi="Times New Roman" w:cs="Times New Roman"/>
                <w:b/>
              </w:rPr>
              <w:t>Gonzalo Medina Schulz</w:t>
            </w:r>
            <w:r w:rsidR="0002012F">
              <w:rPr>
                <w:rFonts w:ascii="Times New Roman" w:hAnsi="Times New Roman" w:cs="Times New Roman"/>
                <w:b/>
              </w:rPr>
              <w:t>. Una sesión, 3 horas lectivas</w:t>
            </w:r>
          </w:p>
          <w:p w:rsidR="00356CE8" w:rsidRDefault="0002012F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Lautaro Contreras Chaimovich. Dos sesiones, 6 horas lectivas</w:t>
            </w:r>
          </w:p>
          <w:p w:rsidR="00356CE8" w:rsidRDefault="0002012F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Jaime Winter Etcheberry. Una sesión. 3 horas lectivas</w:t>
            </w:r>
          </w:p>
          <w:p w:rsidR="0002012F" w:rsidRDefault="0002012F" w:rsidP="003371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721B" w:rsidRPr="00FC4334" w:rsidRDefault="008B721B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4334">
              <w:rPr>
                <w:rFonts w:ascii="Times New Roman" w:hAnsi="Times New Roman" w:cs="Times New Roman"/>
                <w:b/>
              </w:rPr>
              <w:t>Nota: si son varios profesores, por favor indicar el número de horas a cargo de cada uno/a.</w:t>
            </w:r>
          </w:p>
        </w:tc>
      </w:tr>
    </w:tbl>
    <w:p w:rsidR="008B721B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8"/>
      </w:tblGrid>
      <w:tr w:rsidR="008B721B" w:rsidRPr="005401E3" w:rsidTr="003371F4">
        <w:trPr>
          <w:trHeight w:val="312"/>
        </w:trPr>
        <w:tc>
          <w:tcPr>
            <w:tcW w:w="8628" w:type="dxa"/>
          </w:tcPr>
          <w:p w:rsidR="008B721B" w:rsidRDefault="008B721B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B59">
              <w:rPr>
                <w:rFonts w:ascii="Times New Roman" w:hAnsi="Times New Roman" w:cs="Times New Roman"/>
                <w:b/>
              </w:rPr>
              <w:t>Número de créditos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C202C">
              <w:rPr>
                <w:rFonts w:ascii="Times New Roman" w:hAnsi="Times New Roman" w:cs="Times New Roman"/>
                <w:b/>
              </w:rPr>
              <w:t xml:space="preserve"> ocho créditos (8)</w:t>
            </w:r>
          </w:p>
          <w:p w:rsidR="008B721B" w:rsidRPr="00EE6BFB" w:rsidRDefault="008B721B" w:rsidP="003371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721B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B721B" w:rsidRPr="005401E3" w:rsidTr="003371F4">
        <w:trPr>
          <w:trHeight w:val="418"/>
        </w:trPr>
        <w:tc>
          <w:tcPr>
            <w:tcW w:w="8613" w:type="dxa"/>
          </w:tcPr>
          <w:p w:rsidR="008B721B" w:rsidRDefault="008B721B" w:rsidP="003371F4">
            <w:pPr>
              <w:rPr>
                <w:rFonts w:ascii="Times New Roman" w:hAnsi="Times New Roman" w:cs="Times New Roman"/>
                <w:b/>
              </w:rPr>
            </w:pPr>
            <w:r w:rsidRPr="0002012F">
              <w:rPr>
                <w:rFonts w:ascii="Times New Roman" w:hAnsi="Times New Roman" w:cs="Times New Roman"/>
                <w:b/>
                <w:u w:val="single"/>
              </w:rPr>
              <w:t>Curso</w:t>
            </w:r>
            <w:r>
              <w:rPr>
                <w:rFonts w:ascii="Times New Roman" w:hAnsi="Times New Roman" w:cs="Times New Roman"/>
                <w:b/>
              </w:rPr>
              <w:t>/taller/seminario obligatorio o electivo:</w:t>
            </w:r>
            <w:r w:rsidR="002C202C">
              <w:rPr>
                <w:rFonts w:ascii="Times New Roman" w:hAnsi="Times New Roman" w:cs="Times New Roman"/>
                <w:b/>
              </w:rPr>
              <w:t xml:space="preserve"> OBLIGATORIO</w:t>
            </w:r>
          </w:p>
          <w:p w:rsidR="008B721B" w:rsidRPr="00EE6BFB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721B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B721B" w:rsidRPr="005401E3" w:rsidTr="003371F4">
        <w:trPr>
          <w:trHeight w:val="418"/>
        </w:trPr>
        <w:tc>
          <w:tcPr>
            <w:tcW w:w="8613" w:type="dxa"/>
          </w:tcPr>
          <w:p w:rsidR="008B721B" w:rsidRDefault="008B721B" w:rsidP="00337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Horario:</w:t>
            </w:r>
            <w:r w:rsidR="002C202C">
              <w:rPr>
                <w:rFonts w:ascii="Times New Roman" w:hAnsi="Times New Roman" w:cs="Times New Roman"/>
                <w:b/>
              </w:rPr>
              <w:t xml:space="preserve"> MIÉRCOLES 18:00 A 21:00 HRS., VIERNES 18:00 A 21:00 HRS.</w:t>
            </w:r>
          </w:p>
          <w:p w:rsidR="008B721B" w:rsidRPr="00EE6BFB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721B" w:rsidRDefault="008B721B" w:rsidP="008B721B">
      <w:pPr>
        <w:rPr>
          <w:rFonts w:ascii="Times New Roman" w:hAnsi="Times New Roman" w:cs="Times New Roman"/>
        </w:rPr>
      </w:pPr>
    </w:p>
    <w:p w:rsidR="008B721B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B721B" w:rsidRPr="005401E3" w:rsidTr="003371F4">
        <w:trPr>
          <w:trHeight w:val="418"/>
        </w:trPr>
        <w:tc>
          <w:tcPr>
            <w:tcW w:w="8613" w:type="dxa"/>
          </w:tcPr>
          <w:p w:rsidR="008B721B" w:rsidRDefault="008B721B" w:rsidP="00337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Régimen de asistencia:</w:t>
            </w:r>
            <w:r w:rsidR="002C202C">
              <w:rPr>
                <w:rFonts w:ascii="Times New Roman" w:hAnsi="Times New Roman" w:cs="Times New Roman"/>
                <w:b/>
              </w:rPr>
              <w:t xml:space="preserve"> Requiere 80% de asistencia</w:t>
            </w:r>
          </w:p>
          <w:p w:rsidR="008B721B" w:rsidRPr="00EE6BFB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721B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B721B" w:rsidRPr="005401E3" w:rsidTr="003371F4">
        <w:trPr>
          <w:trHeight w:val="2063"/>
        </w:trPr>
        <w:tc>
          <w:tcPr>
            <w:tcW w:w="8644" w:type="dxa"/>
          </w:tcPr>
          <w:p w:rsidR="007E3EA7" w:rsidRDefault="007E3EA7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Default="008B721B" w:rsidP="00337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Breve d</w:t>
            </w:r>
            <w:r w:rsidRPr="005401E3">
              <w:rPr>
                <w:rFonts w:ascii="Times New Roman" w:hAnsi="Times New Roman" w:cs="Times New Roman"/>
                <w:b/>
              </w:rPr>
              <w:t xml:space="preserve">escripción del </w:t>
            </w:r>
            <w:r w:rsidRPr="007E3EA7">
              <w:rPr>
                <w:rFonts w:ascii="Times New Roman" w:hAnsi="Times New Roman" w:cs="Times New Roman"/>
                <w:b/>
                <w:u w:val="single"/>
              </w:rPr>
              <w:t>curso</w:t>
            </w:r>
            <w:r>
              <w:rPr>
                <w:rFonts w:ascii="Times New Roman" w:hAnsi="Times New Roman" w:cs="Times New Roman"/>
                <w:b/>
              </w:rPr>
              <w:t>/taller/seminario:</w:t>
            </w:r>
          </w:p>
          <w:p w:rsidR="00481C01" w:rsidRDefault="00481C01" w:rsidP="007E3E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721B" w:rsidRPr="007E3EA7" w:rsidRDefault="007E3EA7" w:rsidP="007E3E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El curso abarca el estudio detallado de los aspectos fundamentales del derecho penal de los negocios y de la empresa y la especificidad de sus materias en relación con la llamada “Parte general” del derecho penal.  </w:t>
            </w:r>
            <w:r w:rsidRPr="005A7A4E">
              <w:t xml:space="preserve">De esta forma, se espera que los estudiantes del </w:t>
            </w:r>
            <w:r>
              <w:t>puedan conocer</w:t>
            </w:r>
            <w:r w:rsidRPr="005A7A4E">
              <w:t xml:space="preserve"> las principales tendencias qu</w:t>
            </w:r>
            <w:r>
              <w:t>e se están desarrollando en el D</w:t>
            </w:r>
            <w:r w:rsidRPr="005A7A4E">
              <w:t xml:space="preserve">erecho </w:t>
            </w:r>
            <w:r>
              <w:t>penal</w:t>
            </w:r>
            <w:r w:rsidRPr="005A7A4E">
              <w:t xml:space="preserve"> en </w:t>
            </w:r>
            <w:r>
              <w:t xml:space="preserve">estas </w:t>
            </w:r>
            <w:r w:rsidRPr="005A7A4E">
              <w:t xml:space="preserve">materia </w:t>
            </w:r>
            <w:r>
              <w:t>y que se han seleccionado ya que inciden mayormente en el tratamiento de los delitos de los que se ocuparán especialmente en los cursos siguientes.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</w:p>
        </w:tc>
      </w:tr>
    </w:tbl>
    <w:p w:rsidR="008B721B" w:rsidRPr="005401E3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B721B" w:rsidRPr="005401E3" w:rsidTr="003371F4">
        <w:tc>
          <w:tcPr>
            <w:tcW w:w="8644" w:type="dxa"/>
          </w:tcPr>
          <w:p w:rsidR="007E3EA7" w:rsidRDefault="007E3EA7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Pr="005A4C36" w:rsidRDefault="008B721B" w:rsidP="003371F4">
            <w:pPr>
              <w:rPr>
                <w:rFonts w:ascii="Times New Roman" w:hAnsi="Times New Roman" w:cs="Times New Roman"/>
                <w:b/>
              </w:rPr>
            </w:pPr>
            <w:r w:rsidRPr="005A4C36">
              <w:rPr>
                <w:rFonts w:ascii="Times New Roman" w:hAnsi="Times New Roman" w:cs="Times New Roman"/>
                <w:b/>
              </w:rPr>
              <w:t>Explique los objetivos generales y específicos del curso</w:t>
            </w:r>
            <w:r>
              <w:rPr>
                <w:rFonts w:ascii="Times New Roman" w:hAnsi="Times New Roman" w:cs="Times New Roman"/>
                <w:b/>
              </w:rPr>
              <w:t>/taller/seminario: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  <w:p w:rsidR="00605B83" w:rsidRPr="00A337CF" w:rsidRDefault="008B721B" w:rsidP="00605B83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Objetivos Generales:</w:t>
            </w:r>
            <w:r w:rsidR="00605B83">
              <w:t xml:space="preserve"> C</w:t>
            </w:r>
            <w:r w:rsidR="00605B83" w:rsidRPr="00FB03BB">
              <w:t xml:space="preserve">omprender </w:t>
            </w:r>
            <w:r w:rsidR="00605B83">
              <w:t xml:space="preserve">las particularidades del Derecho penal de los negocios y de empresa en el contexto de las </w:t>
            </w:r>
            <w:r w:rsidR="0007629B">
              <w:t>Ciencias P</w:t>
            </w:r>
            <w:r w:rsidR="00605B83">
              <w:t>enales y del Derecho penal contemporáneo en su parte general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Pr="0007629B" w:rsidRDefault="008B721B" w:rsidP="003371F4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5401E3">
              <w:rPr>
                <w:rFonts w:ascii="Times New Roman" w:hAnsi="Times New Roman" w:cs="Times New Roman"/>
                <w:b/>
              </w:rPr>
              <w:t>Objet</w:t>
            </w:r>
            <w:r>
              <w:rPr>
                <w:rFonts w:ascii="Times New Roman" w:hAnsi="Times New Roman" w:cs="Times New Roman"/>
                <w:b/>
              </w:rPr>
              <w:t>ivos Específicos:</w:t>
            </w:r>
            <w:r w:rsidR="00605B83">
              <w:t xml:space="preserve"> C</w:t>
            </w:r>
            <w:r w:rsidR="00605B83" w:rsidRPr="00FB03BB">
              <w:t>ono</w:t>
            </w:r>
            <w:r w:rsidR="00605B83">
              <w:t>cer</w:t>
            </w:r>
            <w:r w:rsidR="00605B83" w:rsidRPr="00FB03BB">
              <w:t xml:space="preserve"> l</w:t>
            </w:r>
            <w:r w:rsidR="00605B83">
              <w:t xml:space="preserve">as principales tendencias </w:t>
            </w:r>
            <w:r w:rsidR="0007629B">
              <w:t xml:space="preserve">de las Ciencias penales y </w:t>
            </w:r>
            <w:r w:rsidR="00605B83">
              <w:t>del Derecho penal de los negocios y la empresa en materias de sus fundamentos constitucionales, la teor</w:t>
            </w:r>
            <w:r w:rsidR="0007629B">
              <w:t>ía d</w:t>
            </w:r>
            <w:r w:rsidR="00605B83">
              <w:t>e</w:t>
            </w:r>
            <w:r w:rsidR="0007629B">
              <w:t xml:space="preserve"> </w:t>
            </w:r>
            <w:r w:rsidR="00605B83">
              <w:t>las normas y la teoría del bien jur</w:t>
            </w:r>
            <w:r w:rsidR="0007629B">
              <w:t>ídico y los problemas en materia d</w:t>
            </w:r>
            <w:r w:rsidR="00605B83">
              <w:t>e</w:t>
            </w:r>
            <w:r w:rsidR="0007629B">
              <w:t xml:space="preserve"> </w:t>
            </w:r>
            <w:r w:rsidR="00605B83">
              <w:t>imputación.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721B" w:rsidRPr="005401E3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B721B" w:rsidRPr="005401E3" w:rsidTr="003371F4">
        <w:tc>
          <w:tcPr>
            <w:tcW w:w="8644" w:type="dxa"/>
          </w:tcPr>
          <w:p w:rsidR="007E3EA7" w:rsidRDefault="007E3EA7" w:rsidP="003371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721B" w:rsidRPr="005A4C36" w:rsidRDefault="008B721B" w:rsidP="003371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4C36">
              <w:rPr>
                <w:rFonts w:ascii="Times New Roman" w:hAnsi="Times New Roman" w:cs="Times New Roman"/>
                <w:b/>
              </w:rPr>
              <w:t xml:space="preserve">En relación a la contribución del </w:t>
            </w:r>
            <w:r w:rsidRPr="007E3EA7">
              <w:rPr>
                <w:rFonts w:ascii="Times New Roman" w:hAnsi="Times New Roman" w:cs="Times New Roman"/>
                <w:b/>
                <w:u w:val="single"/>
              </w:rPr>
              <w:t>curso</w:t>
            </w:r>
            <w:r>
              <w:rPr>
                <w:rFonts w:ascii="Times New Roman" w:hAnsi="Times New Roman" w:cs="Times New Roman"/>
                <w:b/>
              </w:rPr>
              <w:t>/taller/seminario</w:t>
            </w:r>
            <w:r w:rsidRPr="005A4C36">
              <w:rPr>
                <w:rFonts w:ascii="Times New Roman" w:hAnsi="Times New Roman" w:cs="Times New Roman"/>
                <w:b/>
              </w:rPr>
              <w:t xml:space="preserve"> a los conocimientos, habilidades y destrezas de los estudiantes egresados, seleccione las alternativas que le parezcan correctas: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334">
              <w:rPr>
                <w:rFonts w:ascii="Times New Roman" w:hAnsi="Times New Roman" w:cs="Times New Roman"/>
                <w:b/>
              </w:rPr>
              <w:t>(cada programa podría modificar esta parte teniendo a la vista su perfil de egreso)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Pr="005A4C36" w:rsidRDefault="008B721B" w:rsidP="003371F4">
            <w:pPr>
              <w:rPr>
                <w:rFonts w:ascii="Times New Roman" w:hAnsi="Times New Roman" w:cs="Times New Roman"/>
              </w:rPr>
            </w:pPr>
            <w:r w:rsidRPr="005A4C36">
              <w:rPr>
                <w:rFonts w:ascii="Times New Roman" w:hAnsi="Times New Roman" w:cs="Times New Roman"/>
              </w:rPr>
              <w:t>El curso</w:t>
            </w:r>
            <w:r>
              <w:rPr>
                <w:rFonts w:ascii="Times New Roman" w:hAnsi="Times New Roman" w:cs="Times New Roman"/>
              </w:rPr>
              <w:t>/taller/seminario</w:t>
            </w:r>
            <w:r w:rsidRPr="005A4C36">
              <w:rPr>
                <w:rFonts w:ascii="Times New Roman" w:hAnsi="Times New Roman" w:cs="Times New Roman"/>
              </w:rPr>
              <w:t xml:space="preserve"> que usted imparte: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Pr="005401E3" w:rsidRDefault="008B721B" w:rsidP="003371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31A1">
              <w:rPr>
                <w:rFonts w:ascii="Times New Roman" w:hAnsi="Times New Roman" w:cs="Times New Roman"/>
                <w:u w:val="single"/>
              </w:rPr>
              <w:t>Colabora a que los estudiantes, una vez egresados, presten asesoría especializada a personas individuales para la solución de problemas jurídicos concretos</w:t>
            </w:r>
            <w:r w:rsidRPr="005401E3">
              <w:rPr>
                <w:rFonts w:ascii="Times New Roman" w:hAnsi="Times New Roman" w:cs="Times New Roman"/>
              </w:rPr>
              <w:t>.</w:t>
            </w:r>
          </w:p>
          <w:p w:rsidR="008B721B" w:rsidRPr="005401E3" w:rsidRDefault="008B721B" w:rsidP="003371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31A1">
              <w:rPr>
                <w:rFonts w:ascii="Times New Roman" w:hAnsi="Times New Roman" w:cs="Times New Roman"/>
                <w:u w:val="single"/>
              </w:rPr>
              <w:t>Colabora a que los estudiantes una vez egresados presten asesoría especializada a empresas para la solución de problemas jurídicos concretos</w:t>
            </w:r>
            <w:r w:rsidRPr="005401E3">
              <w:rPr>
                <w:rFonts w:ascii="Times New Roman" w:hAnsi="Times New Roman" w:cs="Times New Roman"/>
              </w:rPr>
              <w:t>.</w:t>
            </w:r>
          </w:p>
          <w:p w:rsidR="008B721B" w:rsidRPr="005401E3" w:rsidRDefault="008B721B" w:rsidP="003371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31A1">
              <w:rPr>
                <w:rFonts w:ascii="Times New Roman" w:hAnsi="Times New Roman" w:cs="Times New Roman"/>
                <w:u w:val="single"/>
              </w:rPr>
              <w:t>Colabora a que los estudiantes una vez egresados presten asesoría especializada a organismos estatales para la solución de problemas jurídicos concretos</w:t>
            </w:r>
            <w:r w:rsidRPr="005401E3">
              <w:rPr>
                <w:rFonts w:ascii="Times New Roman" w:hAnsi="Times New Roman" w:cs="Times New Roman"/>
              </w:rPr>
              <w:t>.</w:t>
            </w:r>
          </w:p>
          <w:p w:rsidR="008B721B" w:rsidRPr="005401E3" w:rsidRDefault="008B721B" w:rsidP="003371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Colabora a que los estudiantes, una vez egresados, realicen investigación en materia de dogmática jurídica.</w:t>
            </w:r>
          </w:p>
          <w:p w:rsidR="008B721B" w:rsidRPr="005401E3" w:rsidRDefault="008B721B" w:rsidP="003371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Colabora a que los estudiantes, una vez egresados, realicen docencia en materia de dogmática jurídica.</w:t>
            </w:r>
          </w:p>
        </w:tc>
      </w:tr>
    </w:tbl>
    <w:p w:rsidR="008B721B" w:rsidRPr="005401E3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B721B" w:rsidRPr="005401E3" w:rsidTr="003371F4">
        <w:tc>
          <w:tcPr>
            <w:tcW w:w="8644" w:type="dxa"/>
          </w:tcPr>
          <w:p w:rsidR="007E3EA7" w:rsidRDefault="007E3EA7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  <w:r w:rsidRPr="005401E3">
              <w:rPr>
                <w:rFonts w:ascii="Times New Roman" w:hAnsi="Times New Roman" w:cs="Times New Roman"/>
                <w:b/>
              </w:rPr>
              <w:t xml:space="preserve">Seleccione una o varias de las metodologías utilizadas por usted en el </w:t>
            </w:r>
            <w:r w:rsidRPr="00BA31A1">
              <w:rPr>
                <w:rFonts w:ascii="Times New Roman" w:hAnsi="Times New Roman" w:cs="Times New Roman"/>
                <w:b/>
                <w:u w:val="single"/>
              </w:rPr>
              <w:t>curso</w:t>
            </w:r>
            <w:r>
              <w:rPr>
                <w:rFonts w:ascii="Times New Roman" w:hAnsi="Times New Roman" w:cs="Times New Roman"/>
                <w:b/>
              </w:rPr>
              <w:t>/taller/seminario</w:t>
            </w:r>
            <w:r w:rsidRPr="005401E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Pr="005401E3" w:rsidRDefault="008B721B" w:rsidP="00337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31A1">
              <w:rPr>
                <w:rFonts w:ascii="Times New Roman" w:hAnsi="Times New Roman" w:cs="Times New Roman"/>
                <w:u w:val="single"/>
              </w:rPr>
              <w:t>Clase expositiva dialogada en la que el docente expone la materia y los estudiantes activamente participan a través de preguntas</w:t>
            </w:r>
            <w:r w:rsidRPr="005401E3">
              <w:rPr>
                <w:rFonts w:ascii="Times New Roman" w:hAnsi="Times New Roman" w:cs="Times New Roman"/>
              </w:rPr>
              <w:t>.</w:t>
            </w:r>
          </w:p>
          <w:p w:rsidR="008B721B" w:rsidRPr="005401E3" w:rsidRDefault="008B721B" w:rsidP="00337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31A1">
              <w:rPr>
                <w:rFonts w:ascii="Times New Roman" w:hAnsi="Times New Roman" w:cs="Times New Roman"/>
                <w:u w:val="single"/>
              </w:rPr>
              <w:t>Preparación de material didáctico que el estudiante trabajará fuera del horario de clases y que luego servirá para reflexionar en las sesiones presenciales los contenidos del curso/taller/seminario</w:t>
            </w:r>
            <w:r w:rsidRPr="005401E3">
              <w:rPr>
                <w:rFonts w:ascii="Times New Roman" w:hAnsi="Times New Roman" w:cs="Times New Roman"/>
              </w:rPr>
              <w:t>.</w:t>
            </w:r>
          </w:p>
          <w:p w:rsidR="008B721B" w:rsidRPr="005401E3" w:rsidRDefault="008B721B" w:rsidP="00337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Trabajos en equipos en que los estudiantes, ante determinadas tareas, las resuelven en las sesiones de clases de manera colaborativa.</w:t>
            </w:r>
          </w:p>
          <w:p w:rsidR="008B721B" w:rsidRPr="005401E3" w:rsidRDefault="008B721B" w:rsidP="00337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 xml:space="preserve">Elaboración de casos que serán resueltos por los estudiantes. </w:t>
            </w:r>
          </w:p>
          <w:p w:rsidR="008B721B" w:rsidRPr="005401E3" w:rsidRDefault="008B721B" w:rsidP="00337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Trabajos de  investigación en que los estudiantes indagan información relevante para el desarrollo de los contenidos del curso</w:t>
            </w:r>
            <w:r>
              <w:rPr>
                <w:rFonts w:ascii="Times New Roman" w:hAnsi="Times New Roman" w:cs="Times New Roman"/>
              </w:rPr>
              <w:t>/taller/seminario</w:t>
            </w:r>
            <w:r w:rsidRPr="005401E3">
              <w:rPr>
                <w:rFonts w:ascii="Times New Roman" w:hAnsi="Times New Roman" w:cs="Times New Roman"/>
              </w:rPr>
              <w:t>.</w:t>
            </w:r>
          </w:p>
          <w:p w:rsidR="008B721B" w:rsidRPr="005401E3" w:rsidRDefault="008B721B" w:rsidP="00337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Exposiciones de los estudiantes sobre contenidos trabajados en el curso</w:t>
            </w:r>
            <w:r>
              <w:rPr>
                <w:rFonts w:ascii="Times New Roman" w:hAnsi="Times New Roman" w:cs="Times New Roman"/>
              </w:rPr>
              <w:t>/taller/seminario</w:t>
            </w:r>
            <w:r w:rsidRPr="005401E3">
              <w:rPr>
                <w:rFonts w:ascii="Times New Roman" w:hAnsi="Times New Roman" w:cs="Times New Roman"/>
              </w:rPr>
              <w:t>.</w:t>
            </w:r>
          </w:p>
        </w:tc>
      </w:tr>
    </w:tbl>
    <w:p w:rsidR="008B721B" w:rsidRDefault="008B721B" w:rsidP="008B721B">
      <w:pPr>
        <w:rPr>
          <w:rFonts w:ascii="Times New Roman" w:hAnsi="Times New Roman" w:cs="Times New Roman"/>
        </w:rPr>
      </w:pPr>
    </w:p>
    <w:p w:rsidR="00867744" w:rsidRDefault="00867744" w:rsidP="008B721B">
      <w:pPr>
        <w:rPr>
          <w:rFonts w:ascii="Times New Roman" w:hAnsi="Times New Roman" w:cs="Times New Roman"/>
        </w:rPr>
      </w:pPr>
    </w:p>
    <w:p w:rsidR="00867744" w:rsidRPr="005401E3" w:rsidRDefault="00867744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  <w:b/>
        </w:rPr>
      </w:pPr>
    </w:p>
    <w:p w:rsidR="008B721B" w:rsidRPr="005401E3" w:rsidRDefault="008B721B" w:rsidP="008B721B">
      <w:pPr>
        <w:rPr>
          <w:rFonts w:ascii="Times New Roman" w:hAnsi="Times New Roman" w:cs="Times New Roman"/>
          <w:b/>
        </w:rPr>
      </w:pPr>
      <w:r w:rsidRPr="005401E3">
        <w:rPr>
          <w:rFonts w:ascii="Times New Roman" w:hAnsi="Times New Roman" w:cs="Times New Roman"/>
          <w:b/>
        </w:rPr>
        <w:lastRenderedPageBreak/>
        <w:t>Unidades del Programa.</w:t>
      </w:r>
    </w:p>
    <w:p w:rsidR="008B721B" w:rsidRPr="005401E3" w:rsidRDefault="008B721B" w:rsidP="008B721B">
      <w:pPr>
        <w:rPr>
          <w:rFonts w:ascii="Times New Roman" w:hAnsi="Times New Roman" w:cs="Times New Roman"/>
          <w:b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  <w:r w:rsidRPr="005401E3">
        <w:rPr>
          <w:rFonts w:ascii="Times New Roman" w:hAnsi="Times New Roman" w:cs="Times New Roman"/>
        </w:rPr>
        <w:t>Explique los contenidos que tratará en el curso</w:t>
      </w:r>
      <w:r>
        <w:rPr>
          <w:rFonts w:ascii="Times New Roman" w:hAnsi="Times New Roman" w:cs="Times New Roman"/>
        </w:rPr>
        <w:t>/taller/seminario</w:t>
      </w:r>
      <w:r w:rsidRPr="005401E3">
        <w:rPr>
          <w:rFonts w:ascii="Times New Roman" w:hAnsi="Times New Roman" w:cs="Times New Roman"/>
        </w:rPr>
        <w:t>, organizándolos por unidades o grandes temas de acuerdo a un orden temporal.</w:t>
      </w: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327"/>
      </w:tblGrid>
      <w:tr w:rsidR="008B721B" w:rsidRPr="005401E3" w:rsidTr="002C202C">
        <w:tc>
          <w:tcPr>
            <w:tcW w:w="1570" w:type="dxa"/>
          </w:tcPr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  <w:r w:rsidRPr="005401E3">
              <w:rPr>
                <w:rFonts w:ascii="Times New Roman" w:hAnsi="Times New Roman" w:cs="Times New Roman"/>
                <w:b/>
              </w:rPr>
              <w:t>Fecha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  <w:r w:rsidRPr="005401E3">
              <w:rPr>
                <w:rFonts w:ascii="Times New Roman" w:hAnsi="Times New Roman" w:cs="Times New Roman"/>
                <w:b/>
              </w:rPr>
              <w:t>(Clase)</w:t>
            </w:r>
          </w:p>
        </w:tc>
        <w:tc>
          <w:tcPr>
            <w:tcW w:w="7327" w:type="dxa"/>
          </w:tcPr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  <w:r w:rsidRPr="005401E3">
              <w:rPr>
                <w:rFonts w:ascii="Times New Roman" w:hAnsi="Times New Roman" w:cs="Times New Roman"/>
                <w:b/>
              </w:rPr>
              <w:t>Contenido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721B" w:rsidRPr="005401E3" w:rsidTr="002C202C">
        <w:tc>
          <w:tcPr>
            <w:tcW w:w="1570" w:type="dxa"/>
          </w:tcPr>
          <w:p w:rsidR="002C202C" w:rsidRPr="00C13C3B" w:rsidRDefault="008B721B" w:rsidP="002C202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5401E3">
              <w:rPr>
                <w:rFonts w:ascii="Times New Roman" w:hAnsi="Times New Roman" w:cs="Times New Roman"/>
              </w:rPr>
              <w:t>1</w:t>
            </w:r>
            <w:r w:rsidR="002C202C">
              <w:rPr>
                <w:rFonts w:ascii="Garamond" w:hAnsi="Garamond"/>
                <w:b/>
                <w:sz w:val="28"/>
                <w:szCs w:val="28"/>
              </w:rPr>
              <w:t>.</w:t>
            </w:r>
            <w:r w:rsidR="002C202C" w:rsidRPr="00C13C3B">
              <w:rPr>
                <w:rFonts w:ascii="Garamond" w:hAnsi="Garamond"/>
                <w:b/>
                <w:sz w:val="28"/>
                <w:szCs w:val="28"/>
              </w:rPr>
              <w:t>Miércoles 29 de marzo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7" w:type="dxa"/>
          </w:tcPr>
          <w:p w:rsidR="002C202C" w:rsidRDefault="002C202C" w:rsidP="002C202C">
            <w:pPr>
              <w:rPr>
                <w:rFonts w:ascii="Garamond" w:hAnsi="Garamond"/>
                <w:sz w:val="28"/>
                <w:szCs w:val="28"/>
              </w:rPr>
            </w:pPr>
          </w:p>
          <w:p w:rsidR="008B721B" w:rsidRPr="005401E3" w:rsidRDefault="002C202C" w:rsidP="002C202C">
            <w:pPr>
              <w:rPr>
                <w:rFonts w:ascii="Times New Roman" w:hAnsi="Times New Roman" w:cs="Times New Roman"/>
              </w:rPr>
            </w:pPr>
            <w:r w:rsidRPr="005A4680">
              <w:rPr>
                <w:rFonts w:ascii="Garamond" w:hAnsi="Garamond"/>
                <w:sz w:val="28"/>
                <w:szCs w:val="28"/>
              </w:rPr>
              <w:t>Introducción a las materias del programa de magíster en Derecho penal de los negocios y de la empresa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02012F">
              <w:rPr>
                <w:rFonts w:ascii="Garamond" w:hAnsi="Garamond"/>
                <w:sz w:val="28"/>
                <w:szCs w:val="28"/>
              </w:rPr>
              <w:t xml:space="preserve"> Prof. Vivian Bullemore</w:t>
            </w:r>
            <w:r w:rsidRPr="005A4680">
              <w:rPr>
                <w:rFonts w:ascii="Garamond" w:hAnsi="Garamond"/>
                <w:sz w:val="28"/>
                <w:szCs w:val="28"/>
              </w:rPr>
              <w:br/>
            </w:r>
          </w:p>
        </w:tc>
      </w:tr>
      <w:tr w:rsidR="008B721B" w:rsidRPr="005401E3" w:rsidTr="002C202C">
        <w:tc>
          <w:tcPr>
            <w:tcW w:w="1570" w:type="dxa"/>
          </w:tcPr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2</w:t>
            </w:r>
            <w:r w:rsidR="002C202C">
              <w:rPr>
                <w:rFonts w:ascii="Times New Roman" w:hAnsi="Times New Roman" w:cs="Times New Roman"/>
              </w:rPr>
              <w:t>.</w:t>
            </w:r>
            <w:r w:rsidR="002C202C" w:rsidRPr="00C13C3B">
              <w:rPr>
                <w:rFonts w:ascii="Garamond" w:hAnsi="Garamond"/>
                <w:b/>
                <w:sz w:val="28"/>
                <w:szCs w:val="28"/>
              </w:rPr>
              <w:t xml:space="preserve"> Viernes 31 de marzo</w:t>
            </w:r>
          </w:p>
        </w:tc>
        <w:tc>
          <w:tcPr>
            <w:tcW w:w="7327" w:type="dxa"/>
          </w:tcPr>
          <w:p w:rsidR="002C202C" w:rsidRPr="00C13C3B" w:rsidRDefault="002C202C" w:rsidP="002C202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2C202C" w:rsidRPr="005A4680" w:rsidRDefault="0002012F" w:rsidP="002C202C">
            <w:pPr>
              <w:pStyle w:val="Prrafodelista"/>
              <w:ind w:left="502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Criminología económica. Prof. Felipe Abbott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</w:p>
        </w:tc>
      </w:tr>
      <w:tr w:rsidR="008B721B" w:rsidRPr="005401E3" w:rsidTr="002C202C">
        <w:tc>
          <w:tcPr>
            <w:tcW w:w="1570" w:type="dxa"/>
          </w:tcPr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3</w:t>
            </w:r>
            <w:r w:rsidR="002C202C">
              <w:rPr>
                <w:rFonts w:ascii="Times New Roman" w:hAnsi="Times New Roman" w:cs="Times New Roman"/>
              </w:rPr>
              <w:t>.</w:t>
            </w:r>
            <w:r w:rsidR="002C202C" w:rsidRPr="00C13C3B">
              <w:rPr>
                <w:rFonts w:ascii="Garamond" w:hAnsi="Garamond"/>
                <w:b/>
                <w:sz w:val="28"/>
                <w:szCs w:val="28"/>
              </w:rPr>
              <w:t xml:space="preserve"> Miércoles 5 de abril</w:t>
            </w:r>
          </w:p>
        </w:tc>
        <w:tc>
          <w:tcPr>
            <w:tcW w:w="7327" w:type="dxa"/>
          </w:tcPr>
          <w:p w:rsidR="002C202C" w:rsidRPr="00C13C3B" w:rsidRDefault="002C202C" w:rsidP="002C202C">
            <w:pPr>
              <w:ind w:left="502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02012F" w:rsidRPr="005A4680" w:rsidRDefault="0002012F" w:rsidP="0002012F">
            <w:pPr>
              <w:pStyle w:val="Prrafodelista"/>
              <w:ind w:left="502"/>
              <w:rPr>
                <w:rFonts w:ascii="Garamond" w:hAnsi="Garamond"/>
                <w:bCs/>
                <w:sz w:val="28"/>
                <w:szCs w:val="28"/>
              </w:rPr>
            </w:pPr>
            <w:r w:rsidRPr="005A4680">
              <w:rPr>
                <w:rFonts w:ascii="Garamond" w:hAnsi="Garamond"/>
                <w:bCs/>
                <w:sz w:val="28"/>
                <w:szCs w:val="28"/>
              </w:rPr>
              <w:t>Constitucionalidad de la ley penal económica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y </w:t>
            </w:r>
            <w:r w:rsidRPr="005A4680">
              <w:rPr>
                <w:rFonts w:ascii="Garamond" w:hAnsi="Garamond"/>
                <w:bCs/>
                <w:sz w:val="28"/>
                <w:szCs w:val="28"/>
              </w:rPr>
              <w:t>Aplicabilidad espacial y temporal de la ley penal económica</w:t>
            </w:r>
            <w:r>
              <w:rPr>
                <w:rFonts w:ascii="Garamond" w:hAnsi="Garamond"/>
                <w:bCs/>
                <w:sz w:val="28"/>
                <w:szCs w:val="28"/>
              </w:rPr>
              <w:t>. Prof. Antonio Bascuñán</w:t>
            </w:r>
          </w:p>
          <w:p w:rsidR="008B721B" w:rsidRPr="005401E3" w:rsidRDefault="008B721B" w:rsidP="0002012F">
            <w:pPr>
              <w:pStyle w:val="Prrafodelista"/>
              <w:ind w:left="502"/>
            </w:pPr>
          </w:p>
        </w:tc>
      </w:tr>
      <w:tr w:rsidR="008B721B" w:rsidRPr="005401E3" w:rsidTr="002C202C">
        <w:tc>
          <w:tcPr>
            <w:tcW w:w="1570" w:type="dxa"/>
          </w:tcPr>
          <w:p w:rsidR="002C202C" w:rsidRDefault="002C202C" w:rsidP="002C202C">
            <w:pPr>
              <w:jc w:val="both"/>
              <w:rPr>
                <w:rFonts w:ascii="Times New Roman" w:hAnsi="Times New Roman" w:cs="Times New Roman"/>
              </w:rPr>
            </w:pPr>
          </w:p>
          <w:p w:rsidR="002C202C" w:rsidRPr="00C13C3B" w:rsidRDefault="008B721B" w:rsidP="002C202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5401E3">
              <w:rPr>
                <w:rFonts w:ascii="Times New Roman" w:hAnsi="Times New Roman" w:cs="Times New Roman"/>
              </w:rPr>
              <w:t>4</w:t>
            </w:r>
            <w:r w:rsidR="002C202C">
              <w:rPr>
                <w:rFonts w:ascii="Times New Roman" w:hAnsi="Times New Roman" w:cs="Times New Roman"/>
              </w:rPr>
              <w:t>.</w:t>
            </w:r>
            <w:r w:rsidR="002C202C" w:rsidRPr="00C13C3B">
              <w:rPr>
                <w:rFonts w:ascii="Garamond" w:hAnsi="Garamond"/>
                <w:b/>
                <w:sz w:val="28"/>
                <w:szCs w:val="28"/>
              </w:rPr>
              <w:t xml:space="preserve"> Viernes 7 de abril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7" w:type="dxa"/>
          </w:tcPr>
          <w:p w:rsidR="002C202C" w:rsidRDefault="002C202C" w:rsidP="002C202C">
            <w:pPr>
              <w:ind w:firstLine="502"/>
              <w:rPr>
                <w:rFonts w:ascii="Garamond" w:hAnsi="Garamond"/>
                <w:sz w:val="28"/>
                <w:szCs w:val="28"/>
              </w:rPr>
            </w:pPr>
          </w:p>
          <w:p w:rsidR="0002012F" w:rsidRPr="005A4680" w:rsidRDefault="0002012F" w:rsidP="0002012F">
            <w:pPr>
              <w:pStyle w:val="Prrafodelista"/>
              <w:ind w:left="502"/>
              <w:rPr>
                <w:rFonts w:ascii="Garamond" w:hAnsi="Garamond"/>
                <w:bCs/>
                <w:sz w:val="28"/>
                <w:szCs w:val="28"/>
              </w:rPr>
            </w:pPr>
            <w:r w:rsidRPr="002C202C">
              <w:rPr>
                <w:rFonts w:ascii="Garamond" w:hAnsi="Garamond"/>
                <w:bCs/>
                <w:sz w:val="28"/>
                <w:szCs w:val="28"/>
              </w:rPr>
              <w:t>Accesoriedad administrativa y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Pr="005A4680">
              <w:rPr>
                <w:rFonts w:ascii="Garamond" w:hAnsi="Garamond"/>
                <w:bCs/>
                <w:sz w:val="28"/>
                <w:szCs w:val="28"/>
              </w:rPr>
              <w:t>Ne bis in idem: Derecho administrativo sancionador y Derecho penal.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 Prof. Antonio Bascuñán</w:t>
            </w:r>
          </w:p>
          <w:p w:rsidR="008B721B" w:rsidRPr="0002012F" w:rsidRDefault="008B721B" w:rsidP="0002012F"/>
        </w:tc>
      </w:tr>
      <w:tr w:rsidR="008B721B" w:rsidRPr="005401E3" w:rsidTr="002C202C">
        <w:tc>
          <w:tcPr>
            <w:tcW w:w="1570" w:type="dxa"/>
          </w:tcPr>
          <w:p w:rsidR="002C202C" w:rsidRPr="00C13C3B" w:rsidRDefault="008B721B" w:rsidP="002C202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5401E3">
              <w:rPr>
                <w:rFonts w:ascii="Times New Roman" w:hAnsi="Times New Roman" w:cs="Times New Roman"/>
              </w:rPr>
              <w:t>5</w:t>
            </w:r>
            <w:r w:rsidR="002C202C">
              <w:rPr>
                <w:rFonts w:ascii="Times New Roman" w:hAnsi="Times New Roman" w:cs="Times New Roman"/>
              </w:rPr>
              <w:t xml:space="preserve">. </w:t>
            </w:r>
            <w:r w:rsidR="002C202C" w:rsidRPr="00C13C3B">
              <w:rPr>
                <w:rFonts w:ascii="Garamond" w:hAnsi="Garamond"/>
                <w:b/>
                <w:sz w:val="28"/>
                <w:szCs w:val="28"/>
              </w:rPr>
              <w:t>Miércoles 12 de abril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7" w:type="dxa"/>
          </w:tcPr>
          <w:p w:rsidR="0002012F" w:rsidRDefault="0002012F" w:rsidP="0002012F">
            <w:pPr>
              <w:pStyle w:val="Prrafodelista"/>
              <w:widowControl w:val="0"/>
              <w:ind w:left="502"/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 w:rsidRPr="004A1CF6">
              <w:rPr>
                <w:rFonts w:ascii="Garamond" w:hAnsi="Garamond"/>
                <w:bCs/>
                <w:sz w:val="28"/>
                <w:szCs w:val="28"/>
              </w:rPr>
              <w:t>Teoría de las normas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y</w:t>
            </w:r>
          </w:p>
          <w:p w:rsidR="0002012F" w:rsidRPr="004A1CF6" w:rsidRDefault="0002012F" w:rsidP="0002012F">
            <w:pPr>
              <w:pStyle w:val="Prrafodelista"/>
              <w:ind w:left="502"/>
              <w:rPr>
                <w:rFonts w:ascii="Garamond" w:hAnsi="Garamond"/>
                <w:sz w:val="28"/>
                <w:szCs w:val="28"/>
              </w:rPr>
            </w:pPr>
            <w:r w:rsidRPr="005A4680">
              <w:rPr>
                <w:rFonts w:ascii="Garamond" w:hAnsi="Garamond"/>
                <w:sz w:val="28"/>
                <w:szCs w:val="28"/>
              </w:rPr>
              <w:t>Bienes jur</w:t>
            </w:r>
            <w:r>
              <w:rPr>
                <w:rFonts w:ascii="Garamond" w:hAnsi="Garamond"/>
                <w:sz w:val="28"/>
                <w:szCs w:val="28"/>
              </w:rPr>
              <w:t xml:space="preserve">ídicos y estructuras de delitos. Prof. </w:t>
            </w:r>
            <w:r w:rsidR="00032BB4">
              <w:rPr>
                <w:rFonts w:ascii="Garamond" w:hAnsi="Garamond"/>
                <w:sz w:val="28"/>
                <w:szCs w:val="28"/>
              </w:rPr>
              <w:t>Gonzalo Medina</w:t>
            </w:r>
            <w:bookmarkStart w:id="0" w:name="_GoBack"/>
            <w:bookmarkEnd w:id="0"/>
          </w:p>
          <w:p w:rsidR="008B721B" w:rsidRPr="0002012F" w:rsidRDefault="008B721B" w:rsidP="0002012F">
            <w:pPr>
              <w:widowControl w:val="0"/>
              <w:ind w:left="502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B721B" w:rsidRPr="005401E3" w:rsidTr="002C202C">
        <w:tc>
          <w:tcPr>
            <w:tcW w:w="1570" w:type="dxa"/>
          </w:tcPr>
          <w:p w:rsidR="002C202C" w:rsidRPr="00C13C3B" w:rsidRDefault="008B721B" w:rsidP="002C202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5401E3">
              <w:rPr>
                <w:rFonts w:ascii="Times New Roman" w:hAnsi="Times New Roman" w:cs="Times New Roman"/>
              </w:rPr>
              <w:t>6</w:t>
            </w:r>
            <w:r w:rsidR="002C202C">
              <w:rPr>
                <w:rFonts w:ascii="Times New Roman" w:hAnsi="Times New Roman" w:cs="Times New Roman"/>
              </w:rPr>
              <w:t>.</w:t>
            </w:r>
            <w:r w:rsidR="002C202C" w:rsidRPr="00C13C3B">
              <w:rPr>
                <w:rFonts w:ascii="Garamond" w:hAnsi="Garamond"/>
                <w:b/>
                <w:sz w:val="28"/>
                <w:szCs w:val="28"/>
              </w:rPr>
              <w:t xml:space="preserve"> Miércoles 19 de abril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7" w:type="dxa"/>
          </w:tcPr>
          <w:p w:rsidR="0002012F" w:rsidRDefault="0002012F" w:rsidP="0002012F">
            <w:pPr>
              <w:pStyle w:val="Prrafodelista"/>
              <w:ind w:left="142" w:firstLine="360"/>
              <w:rPr>
                <w:rFonts w:ascii="Garamond" w:hAnsi="Garamond"/>
                <w:sz w:val="28"/>
                <w:szCs w:val="28"/>
              </w:rPr>
            </w:pPr>
            <w:r w:rsidRPr="005A4680">
              <w:rPr>
                <w:rFonts w:ascii="Garamond" w:hAnsi="Garamond"/>
                <w:sz w:val="28"/>
                <w:szCs w:val="28"/>
              </w:rPr>
              <w:t>Problemas de imputación en Derecho penal (I). Imputación objetiva</w:t>
            </w:r>
            <w:r>
              <w:rPr>
                <w:rFonts w:ascii="Garamond" w:hAnsi="Garamond"/>
                <w:sz w:val="28"/>
                <w:szCs w:val="28"/>
              </w:rPr>
              <w:t>. Prof. Lautaro Contreras</w:t>
            </w:r>
          </w:p>
          <w:p w:rsidR="008B721B" w:rsidRPr="002C202C" w:rsidRDefault="008B721B" w:rsidP="0002012F">
            <w:pPr>
              <w:pStyle w:val="Prrafodelista"/>
              <w:ind w:left="502"/>
            </w:pPr>
          </w:p>
        </w:tc>
      </w:tr>
      <w:tr w:rsidR="008B721B" w:rsidRPr="005401E3" w:rsidTr="002C202C">
        <w:tc>
          <w:tcPr>
            <w:tcW w:w="1570" w:type="dxa"/>
          </w:tcPr>
          <w:p w:rsidR="002C202C" w:rsidRPr="004A1CF6" w:rsidRDefault="008B721B" w:rsidP="002C202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5401E3">
              <w:rPr>
                <w:rFonts w:ascii="Times New Roman" w:hAnsi="Times New Roman" w:cs="Times New Roman"/>
              </w:rPr>
              <w:t>7</w:t>
            </w:r>
            <w:r w:rsidR="002C202C">
              <w:rPr>
                <w:rFonts w:ascii="Times New Roman" w:hAnsi="Times New Roman" w:cs="Times New Roman"/>
              </w:rPr>
              <w:t>.</w:t>
            </w:r>
            <w:r w:rsidR="002C202C" w:rsidRPr="004A1CF6">
              <w:rPr>
                <w:rFonts w:ascii="Garamond" w:hAnsi="Garamond"/>
                <w:b/>
                <w:sz w:val="28"/>
                <w:szCs w:val="28"/>
              </w:rPr>
              <w:t xml:space="preserve"> Viernes 21 de abril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7" w:type="dxa"/>
          </w:tcPr>
          <w:p w:rsidR="008B721B" w:rsidRPr="005401E3" w:rsidRDefault="0002012F" w:rsidP="0002012F">
            <w:pPr>
              <w:pStyle w:val="Prrafodelista"/>
              <w:ind w:left="142" w:firstLine="360"/>
            </w:pPr>
            <w:r w:rsidRPr="005A4680">
              <w:rPr>
                <w:rFonts w:ascii="Garamond" w:hAnsi="Garamond"/>
                <w:sz w:val="28"/>
                <w:szCs w:val="28"/>
              </w:rPr>
              <w:t>Problemas de imputación en Derecho penal (I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  <w:r w:rsidRPr="005A4680">
              <w:rPr>
                <w:rFonts w:ascii="Garamond" w:hAnsi="Garamond"/>
                <w:sz w:val="28"/>
                <w:szCs w:val="28"/>
              </w:rPr>
              <w:t>)</w:t>
            </w:r>
            <w:r>
              <w:rPr>
                <w:rFonts w:ascii="Garamond" w:hAnsi="Garamond"/>
                <w:sz w:val="28"/>
                <w:szCs w:val="28"/>
              </w:rPr>
              <w:t>. Problemas de autoría y participación. Prof. Jaime Winter</w:t>
            </w:r>
            <w:r w:rsidRPr="005A468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8B721B" w:rsidRPr="005401E3" w:rsidTr="002C202C">
        <w:tc>
          <w:tcPr>
            <w:tcW w:w="1570" w:type="dxa"/>
          </w:tcPr>
          <w:p w:rsidR="002C202C" w:rsidRPr="002C202C" w:rsidRDefault="008B721B" w:rsidP="002C202C">
            <w:p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8</w:t>
            </w:r>
            <w:r w:rsidR="002C202C">
              <w:rPr>
                <w:rFonts w:ascii="Times New Roman" w:hAnsi="Times New Roman" w:cs="Times New Roman"/>
              </w:rPr>
              <w:t xml:space="preserve">. </w:t>
            </w:r>
            <w:r w:rsidR="002C202C" w:rsidRPr="004A1CF6">
              <w:rPr>
                <w:rFonts w:ascii="Garamond" w:hAnsi="Garamond"/>
                <w:b/>
                <w:sz w:val="28"/>
                <w:szCs w:val="28"/>
              </w:rPr>
              <w:t>Miércoles 26 de abril</w:t>
            </w:r>
          </w:p>
          <w:p w:rsidR="002C202C" w:rsidRPr="005401E3" w:rsidRDefault="002C202C" w:rsidP="0033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7" w:type="dxa"/>
          </w:tcPr>
          <w:p w:rsidR="002C202C" w:rsidRDefault="002C202C" w:rsidP="002C202C">
            <w:pPr>
              <w:ind w:left="502"/>
              <w:jc w:val="both"/>
              <w:rPr>
                <w:rFonts w:ascii="Garamond" w:hAnsi="Garamond"/>
                <w:sz w:val="28"/>
                <w:szCs w:val="28"/>
              </w:rPr>
            </w:pPr>
            <w:r w:rsidRPr="005A4680">
              <w:rPr>
                <w:rFonts w:ascii="Garamond" w:hAnsi="Garamond"/>
                <w:sz w:val="28"/>
                <w:szCs w:val="28"/>
              </w:rPr>
              <w:t xml:space="preserve">Problemas de </w:t>
            </w:r>
            <w:r>
              <w:rPr>
                <w:rFonts w:ascii="Garamond" w:hAnsi="Garamond"/>
                <w:sz w:val="28"/>
                <w:szCs w:val="28"/>
              </w:rPr>
              <w:t>imputación en Derecho penal (II</w:t>
            </w:r>
            <w:r w:rsidRPr="005A4680">
              <w:rPr>
                <w:rFonts w:ascii="Garamond" w:hAnsi="Garamond"/>
                <w:sz w:val="28"/>
                <w:szCs w:val="28"/>
              </w:rPr>
              <w:t>). Imputación subjetiva</w:t>
            </w:r>
            <w:r w:rsidR="0002012F">
              <w:rPr>
                <w:rFonts w:ascii="Garamond" w:hAnsi="Garamond"/>
                <w:sz w:val="28"/>
                <w:szCs w:val="28"/>
              </w:rPr>
              <w:t>. Prof. Lautaro Contreras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</w:rPr>
            </w:pPr>
          </w:p>
        </w:tc>
      </w:tr>
    </w:tbl>
    <w:p w:rsidR="008B721B" w:rsidRPr="005401E3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B721B" w:rsidRPr="005401E3" w:rsidTr="003371F4">
        <w:tc>
          <w:tcPr>
            <w:tcW w:w="8897" w:type="dxa"/>
          </w:tcPr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  <w:r w:rsidRPr="005401E3">
              <w:rPr>
                <w:rFonts w:ascii="Times New Roman" w:hAnsi="Times New Roman" w:cs="Times New Roman"/>
                <w:b/>
              </w:rPr>
              <w:t>Seleccione una o varias de las modalidades de evaluación que desarrollará en el curso</w:t>
            </w:r>
            <w:r>
              <w:rPr>
                <w:rFonts w:ascii="Times New Roman" w:hAnsi="Times New Roman" w:cs="Times New Roman"/>
                <w:b/>
              </w:rPr>
              <w:t>/taller/seminario</w:t>
            </w:r>
            <w:r w:rsidRPr="005401E3">
              <w:rPr>
                <w:rFonts w:ascii="Times New Roman" w:hAnsi="Times New Roman" w:cs="Times New Roman"/>
                <w:b/>
              </w:rPr>
              <w:t>: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  <w:p w:rsidR="008B721B" w:rsidRPr="005401E3" w:rsidRDefault="008B721B" w:rsidP="003371F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Trabajos de investigación.</w:t>
            </w:r>
          </w:p>
          <w:p w:rsidR="008B721B" w:rsidRPr="005401E3" w:rsidRDefault="008B721B" w:rsidP="003371F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 xml:space="preserve">Exposiciones orales de los estudiantes. </w:t>
            </w:r>
          </w:p>
          <w:p w:rsidR="008B721B" w:rsidRPr="005401E3" w:rsidRDefault="008B721B" w:rsidP="003371F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</w:rPr>
              <w:t>Análisis de jurisprudencia.</w:t>
            </w:r>
          </w:p>
          <w:p w:rsidR="008B721B" w:rsidRPr="005401E3" w:rsidRDefault="008B721B" w:rsidP="003371F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81C01">
              <w:rPr>
                <w:rFonts w:ascii="Times New Roman" w:hAnsi="Times New Roman" w:cs="Times New Roman"/>
                <w:b/>
                <w:u w:val="single"/>
              </w:rPr>
              <w:t>Pruebas escritas</w:t>
            </w:r>
            <w:r w:rsidRPr="005401E3">
              <w:rPr>
                <w:rFonts w:ascii="Times New Roman" w:hAnsi="Times New Roman" w:cs="Times New Roman"/>
              </w:rPr>
              <w:t>.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</w:p>
          <w:p w:rsidR="002C202C" w:rsidRDefault="008B721B" w:rsidP="002C202C">
            <w:pPr>
              <w:widowControl w:val="0"/>
              <w:ind w:left="502"/>
              <w:jc w:val="both"/>
              <w:rPr>
                <w:rFonts w:ascii="Garamond" w:hAnsi="Garamond"/>
                <w:sz w:val="28"/>
                <w:szCs w:val="28"/>
              </w:rPr>
            </w:pPr>
            <w:r w:rsidRPr="005401E3">
              <w:rPr>
                <w:rFonts w:ascii="Times New Roman" w:hAnsi="Times New Roman" w:cs="Times New Roman"/>
                <w:b/>
              </w:rPr>
              <w:t>Indique las formas, fechas y porcentaje de las evaluaciones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C202C" w:rsidRPr="005A4680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07629B" w:rsidRDefault="0007629B" w:rsidP="002C202C">
            <w:pPr>
              <w:widowControl w:val="0"/>
              <w:ind w:left="502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2C202C" w:rsidRPr="00356CE8" w:rsidRDefault="002C202C" w:rsidP="002C202C">
            <w:pPr>
              <w:widowControl w:val="0"/>
              <w:ind w:left="502"/>
              <w:jc w:val="both"/>
              <w:rPr>
                <w:rFonts w:ascii="Times New Roman" w:hAnsi="Times New Roman" w:cs="Times New Roman"/>
                <w:b/>
              </w:rPr>
            </w:pPr>
            <w:r w:rsidRPr="00356CE8">
              <w:rPr>
                <w:rFonts w:ascii="Times New Roman" w:hAnsi="Times New Roman" w:cs="Times New Roman"/>
                <w:b/>
              </w:rPr>
              <w:t>Viernes 5 de mayo</w:t>
            </w:r>
            <w:r w:rsidRPr="00356CE8">
              <w:rPr>
                <w:rFonts w:ascii="Times New Roman" w:hAnsi="Times New Roman" w:cs="Times New Roman"/>
              </w:rPr>
              <w:t>:</w:t>
            </w:r>
            <w:r w:rsidRPr="00356CE8">
              <w:rPr>
                <w:rFonts w:ascii="Times New Roman" w:hAnsi="Times New Roman" w:cs="Times New Roman"/>
                <w:b/>
              </w:rPr>
              <w:t xml:space="preserve"> prueba </w:t>
            </w:r>
            <w:r w:rsidR="00356CE8" w:rsidRPr="0007629B">
              <w:rPr>
                <w:rFonts w:ascii="Times New Roman" w:hAnsi="Times New Roman" w:cs="Times New Roman"/>
                <w:b/>
                <w:u w:val="single"/>
              </w:rPr>
              <w:t>escrita</w:t>
            </w:r>
            <w:r w:rsidR="00356CE8">
              <w:rPr>
                <w:rFonts w:ascii="Times New Roman" w:hAnsi="Times New Roman" w:cs="Times New Roman"/>
                <w:b/>
              </w:rPr>
              <w:t xml:space="preserve">, </w:t>
            </w:r>
            <w:r w:rsidRPr="0007629B">
              <w:rPr>
                <w:rFonts w:ascii="Times New Roman" w:hAnsi="Times New Roman" w:cs="Times New Roman"/>
                <w:b/>
                <w:u w:val="single"/>
              </w:rPr>
              <w:t>no presencial</w:t>
            </w:r>
            <w:r w:rsidRPr="00356CE8">
              <w:rPr>
                <w:rFonts w:ascii="Times New Roman" w:hAnsi="Times New Roman" w:cs="Times New Roman"/>
                <w:b/>
              </w:rPr>
              <w:t xml:space="preserve">, </w:t>
            </w:r>
            <w:r w:rsidRPr="0007629B">
              <w:rPr>
                <w:rFonts w:ascii="Times New Roman" w:hAnsi="Times New Roman" w:cs="Times New Roman"/>
                <w:b/>
                <w:u w:val="single"/>
              </w:rPr>
              <w:t>electrónica</w:t>
            </w:r>
            <w:r w:rsidR="00356CE8">
              <w:rPr>
                <w:rFonts w:ascii="Times New Roman" w:hAnsi="Times New Roman" w:cs="Times New Roman"/>
                <w:b/>
              </w:rPr>
              <w:t>.</w:t>
            </w:r>
            <w:r w:rsidRPr="00356C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202C" w:rsidRPr="00356CE8" w:rsidRDefault="002C202C" w:rsidP="002C202C">
            <w:pPr>
              <w:widowControl w:val="0"/>
              <w:ind w:left="502"/>
              <w:jc w:val="both"/>
              <w:rPr>
                <w:rFonts w:ascii="Times New Roman" w:hAnsi="Times New Roman" w:cs="Times New Roman"/>
                <w:b/>
              </w:rPr>
            </w:pPr>
            <w:r w:rsidRPr="00356CE8">
              <w:rPr>
                <w:rFonts w:ascii="Times New Roman" w:hAnsi="Times New Roman" w:cs="Times New Roman"/>
                <w:b/>
              </w:rPr>
              <w:t xml:space="preserve">Contenido: </w:t>
            </w:r>
            <w:r w:rsidRPr="0007629B">
              <w:rPr>
                <w:rFonts w:ascii="Times New Roman" w:hAnsi="Times New Roman" w:cs="Times New Roman"/>
                <w:b/>
                <w:u w:val="single"/>
              </w:rPr>
              <w:t>caso(s) y preguntas de aplicación</w:t>
            </w:r>
          </w:p>
          <w:p w:rsidR="008B721B" w:rsidRPr="005401E3" w:rsidRDefault="008B721B" w:rsidP="003371F4">
            <w:pPr>
              <w:rPr>
                <w:rFonts w:ascii="Times New Roman" w:hAnsi="Times New Roman" w:cs="Times New Roman"/>
                <w:b/>
              </w:rPr>
            </w:pPr>
            <w:r w:rsidRPr="005401E3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8B721B" w:rsidRPr="005401E3" w:rsidRDefault="008B721B" w:rsidP="008B721B">
      <w:pPr>
        <w:rPr>
          <w:rFonts w:ascii="Times New Roman" w:hAnsi="Times New Roman" w:cs="Times New Roman"/>
        </w:rPr>
      </w:pPr>
    </w:p>
    <w:p w:rsidR="008B721B" w:rsidRPr="005401E3" w:rsidRDefault="008B721B" w:rsidP="008B721B">
      <w:pPr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B721B" w:rsidRPr="005401E3" w:rsidTr="003371F4">
        <w:tc>
          <w:tcPr>
            <w:tcW w:w="8897" w:type="dxa"/>
          </w:tcPr>
          <w:p w:rsidR="007E3EA7" w:rsidRDefault="007E3EA7" w:rsidP="003371F4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  <w:p w:rsidR="008B721B" w:rsidRDefault="008B721B" w:rsidP="003371F4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Bibliografía:</w:t>
            </w:r>
          </w:p>
          <w:p w:rsidR="002C202C" w:rsidRDefault="002C202C" w:rsidP="003371F4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C202C" w:rsidRDefault="002C202C" w:rsidP="002C202C">
            <w:pPr>
              <w:jc w:val="both"/>
              <w:rPr>
                <w:rFonts w:ascii="Garamond" w:hAnsi="Garamond"/>
              </w:rPr>
            </w:pPr>
            <w:r w:rsidRPr="002C202C">
              <w:rPr>
                <w:rFonts w:ascii="Garamond" w:hAnsi="Garamond"/>
              </w:rPr>
              <w:t xml:space="preserve"> </w:t>
            </w:r>
            <w:r w:rsidRPr="002C202C">
              <w:rPr>
                <w:rFonts w:ascii="Garamond" w:hAnsi="Garamond"/>
                <w:u w:val="single"/>
              </w:rPr>
              <w:t>Bibliografía para la clase 1</w:t>
            </w:r>
            <w:r w:rsidRPr="002C202C">
              <w:rPr>
                <w:rFonts w:ascii="Garamond" w:hAnsi="Garamond"/>
              </w:rPr>
              <w:t>:</w:t>
            </w:r>
          </w:p>
          <w:p w:rsidR="002C202C" w:rsidRPr="002C202C" w:rsidRDefault="002C202C" w:rsidP="002C202C">
            <w:pPr>
              <w:jc w:val="both"/>
              <w:rPr>
                <w:rFonts w:ascii="Garamond" w:hAnsi="Garamond"/>
              </w:rPr>
            </w:pP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Bacigalupo, Enrique: El derecho penal en el ámbito de la prevención de riesgos de responsabilidad en las empresas, Discurso  de Inauguración de la 1ª versión del Magíster de Derecho de los Negocios y la Empresa, 2009, 18 p.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Bacigalupo, Silvina: “La problemática del sujeto en el derecho penal”, ICADE: Revista de las facultades de derecho y ciencias económicas y empresariales nº 42, 1997, pp. 13-22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_________________ “Ética empresarial y responsabilidad penal de las empresas”, Encuentros multidisciplinares vol. 13, nº 39, 2001, pp. 2-9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Jaen Vallejo, Manuel: “¿Límites del derecho penal respecto de las irregularidades en materia de buen gobierno empresarial?, ponencia en el Seminario de derecho penal, filosofía del derecho penal y derecho penal comparado del Instituto Ortega y Gasset, Madrid, 2007.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Ortiz de Urbina, Iñigo: “Ahora sí: Hispanicas societas delinquere potest”, en Pastor (dir.), Derecho penal, parte general y especial, Ad Hoc, 2011, 25 p.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Schünemann, Bernd: “La responsabilidad penal de las empresas y sus órganos directivos” en Bajo Fernández et al (dir.), Constitución europea y derecho penal económico, Mesas redondas de derecho y economía, 2006, pp. 141-157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___________________ “La estructura de los delitos de peligro”, ponencia en 2ª versión del Magíster de Derecho Penal de los Negocios y la Empresa, 2010, 16 p.</w:t>
            </w:r>
          </w:p>
          <w:p w:rsidR="002C202C" w:rsidRPr="005401E3" w:rsidRDefault="002C202C" w:rsidP="003371F4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  <w:p w:rsidR="002C202C" w:rsidRPr="00C13C3B" w:rsidRDefault="002C202C" w:rsidP="002C202C">
            <w:pPr>
              <w:pStyle w:val="Prrafodelista"/>
              <w:ind w:left="284"/>
              <w:rPr>
                <w:rFonts w:ascii="Garamond" w:hAnsi="Garamond"/>
                <w:sz w:val="24"/>
                <w:szCs w:val="24"/>
              </w:rPr>
            </w:pPr>
            <w:r w:rsidRPr="00C13C3B">
              <w:rPr>
                <w:rFonts w:ascii="Garamond" w:hAnsi="Garamond"/>
                <w:sz w:val="24"/>
                <w:szCs w:val="24"/>
                <w:u w:val="single"/>
              </w:rPr>
              <w:t>Bibliografía</w:t>
            </w:r>
            <w:r w:rsidRPr="00C13C3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012F">
              <w:rPr>
                <w:rFonts w:ascii="Garamond" w:hAnsi="Garamond"/>
                <w:sz w:val="24"/>
                <w:szCs w:val="24"/>
                <w:u w:val="single"/>
              </w:rPr>
              <w:t>para la clase</w:t>
            </w:r>
            <w:r w:rsidRPr="008B1AEB">
              <w:rPr>
                <w:rFonts w:ascii="Garamond" w:hAnsi="Garamond"/>
                <w:sz w:val="24"/>
                <w:szCs w:val="24"/>
                <w:u w:val="single"/>
              </w:rPr>
              <w:t xml:space="preserve"> 2</w:t>
            </w:r>
            <w:r w:rsidRPr="00C13C3B">
              <w:rPr>
                <w:rFonts w:ascii="Garamond" w:hAnsi="Garamond"/>
                <w:sz w:val="24"/>
                <w:szCs w:val="24"/>
              </w:rPr>
              <w:t>: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Lecturas obligatorias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</w:t>
            </w: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 xml:space="preserve"> Becker, Gary: “El enfoque económico del comportamiento humano”, capítulo 1 de Febrero y Schwartz (eds.), La esencia de Becker, Editorial Ariel, Barcelona, pp. 47-58.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Elbert, Carlos: “Los enfoques sociológicos sobre el delito”, capítulo 10 de Manual básico de criminología, Eudeba, Buenos Aires, 207, pp. 121-139.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Wilson, James y Kelling, George: “Ventanas rotas: la policía y la seguridad en los barrios”, Delito y sociedad, Nº 15-16, 2001, pp. 67-79.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Garland, David: “Una historia del presente”, capítulo 1 de La cultura del control. Crimen y orden social en la sociedad contemporánea, Gedisa, Barcelona, 2005, pp. 31-70.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Agustina, José: “Fenomenología del employee crime: Bases para definir estrategias de prevención del delito intraempresarial”, Política Criminal, Vol. 5 Nº 10, pp. 352-378.</w:t>
            </w:r>
          </w:p>
          <w:p w:rsidR="002C202C" w:rsidRPr="005A4680" w:rsidRDefault="002C202C" w:rsidP="002C202C">
            <w:pPr>
              <w:pStyle w:val="Prrafodelista1"/>
              <w:tabs>
                <w:tab w:val="left" w:pos="993"/>
              </w:tabs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Material de trabajo:</w:t>
            </w:r>
          </w:p>
          <w:p w:rsidR="002C202C" w:rsidRPr="005A4680" w:rsidRDefault="002C202C" w:rsidP="002C202C">
            <w:pPr>
              <w:pStyle w:val="Prrafodelista1"/>
              <w:tabs>
                <w:tab w:val="left" w:pos="993"/>
              </w:tabs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 IX Encuesta Nacional Urbana de Seguridad Ciudadana (ENUSC) 2012</w:t>
            </w:r>
          </w:p>
          <w:p w:rsidR="002C202C" w:rsidRDefault="002C202C" w:rsidP="002C202C">
            <w:pPr>
              <w:pStyle w:val="Prrafodelista1"/>
              <w:tabs>
                <w:tab w:val="left" w:pos="993"/>
              </w:tabs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 Convención de Palermo contra la delincuencia organizada transnacional</w:t>
            </w:r>
          </w:p>
          <w:p w:rsidR="002C202C" w:rsidRDefault="002C202C" w:rsidP="002C202C">
            <w:pPr>
              <w:pStyle w:val="Prrafodelista1"/>
              <w:tabs>
                <w:tab w:val="left" w:pos="993"/>
              </w:tabs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595C77" w:rsidRPr="008B1AEB" w:rsidRDefault="00595C77" w:rsidP="002C202C">
            <w:pPr>
              <w:pStyle w:val="Prrafodelista"/>
              <w:ind w:left="284"/>
              <w:rPr>
                <w:rFonts w:ascii="Garamond" w:hAnsi="Garamond"/>
                <w:sz w:val="24"/>
                <w:szCs w:val="24"/>
                <w:u w:val="single"/>
              </w:rPr>
            </w:pPr>
            <w:r w:rsidRPr="008B1AEB">
              <w:rPr>
                <w:rFonts w:ascii="Garamond" w:hAnsi="Garamond"/>
                <w:sz w:val="24"/>
                <w:szCs w:val="24"/>
                <w:u w:val="single"/>
              </w:rPr>
              <w:t xml:space="preserve">Bibliografía para la clase </w:t>
            </w:r>
            <w:r w:rsidR="0002012F">
              <w:rPr>
                <w:rFonts w:ascii="Garamond" w:hAnsi="Garamond"/>
                <w:sz w:val="24"/>
                <w:szCs w:val="24"/>
                <w:u w:val="single"/>
              </w:rPr>
              <w:t>3</w:t>
            </w:r>
          </w:p>
          <w:p w:rsidR="002C202C" w:rsidRPr="00C13C3B" w:rsidRDefault="002C202C" w:rsidP="002C202C">
            <w:pPr>
              <w:pStyle w:val="Prrafodelista"/>
              <w:ind w:left="284"/>
              <w:rPr>
                <w:rFonts w:ascii="Garamond" w:hAnsi="Garamond"/>
                <w:sz w:val="24"/>
                <w:szCs w:val="24"/>
              </w:rPr>
            </w:pPr>
            <w:r w:rsidRPr="005A4680">
              <w:rPr>
                <w:rFonts w:ascii="Garamond" w:hAnsi="Garamond"/>
                <w:sz w:val="24"/>
                <w:szCs w:val="24"/>
                <w:u w:val="single"/>
              </w:rPr>
              <w:t>Bibliografía</w:t>
            </w:r>
            <w:r w:rsidRPr="00C13C3B">
              <w:rPr>
                <w:rFonts w:ascii="Garamond" w:hAnsi="Garamond"/>
                <w:sz w:val="24"/>
                <w:szCs w:val="24"/>
              </w:rPr>
              <w:t xml:space="preserve"> (constitucionalidad</w:t>
            </w:r>
            <w:r>
              <w:rPr>
                <w:rFonts w:ascii="Garamond" w:hAnsi="Garamond"/>
                <w:sz w:val="24"/>
                <w:szCs w:val="24"/>
              </w:rPr>
              <w:t xml:space="preserve"> de la ley penal económica</w:t>
            </w:r>
            <w:r w:rsidRPr="00C13C3B">
              <w:rPr>
                <w:rFonts w:ascii="Garamond" w:hAnsi="Garamond"/>
                <w:sz w:val="24"/>
                <w:szCs w:val="24"/>
              </w:rPr>
              <w:t>):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Borowski, Martín: “La restricción de los derechos fundamentales”, Revista Española de Derecho Constitucional nº 59, 2000, pp. 29-56</w:t>
            </w:r>
          </w:p>
          <w:p w:rsidR="002C202C" w:rsidRPr="005A4680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Feller, Claudio: “Orientaciones básicas del derecho penal en un Estado democrático de Derecho”, Revista de Ciencias Penales, tomo XL, volumen 1, 1993, pp. 36-48</w:t>
            </w:r>
          </w:p>
          <w:p w:rsidR="002C202C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</w:t>
            </w: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 xml:space="preserve"> Greco, Luis: “Conveniencia y respeto: sobre lo hipotético y lo categórico en la fundamentación del derec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ho penal”, InDret 4/2010, 36 p.</w:t>
            </w:r>
          </w:p>
          <w:p w:rsidR="002C202C" w:rsidRPr="001D35B2" w:rsidRDefault="002C202C" w:rsidP="002C202C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</w:p>
          <w:p w:rsidR="002C202C" w:rsidRPr="002C202C" w:rsidRDefault="002C202C" w:rsidP="008B1AEB">
            <w:pPr>
              <w:tabs>
                <w:tab w:val="left" w:pos="0"/>
              </w:tabs>
              <w:rPr>
                <w:rFonts w:ascii="Garamond" w:hAnsi="Garamond"/>
                <w:bCs/>
              </w:rPr>
            </w:pPr>
            <w:r w:rsidRPr="002C202C">
              <w:rPr>
                <w:rFonts w:ascii="Garamond" w:hAnsi="Garamond"/>
                <w:bCs/>
              </w:rPr>
              <w:lastRenderedPageBreak/>
              <w:t xml:space="preserve">    </w:t>
            </w:r>
            <w:r w:rsidRPr="002C202C">
              <w:rPr>
                <w:rFonts w:ascii="Garamond" w:hAnsi="Garamond"/>
                <w:bCs/>
                <w:u w:val="single"/>
              </w:rPr>
              <w:t>Bibliografía</w:t>
            </w:r>
            <w:r w:rsidRPr="002C202C">
              <w:rPr>
                <w:rFonts w:ascii="Garamond" w:hAnsi="Garamond"/>
                <w:bCs/>
              </w:rPr>
              <w:t xml:space="preserve"> (aplicabilidad espacial y temporal </w:t>
            </w:r>
            <w:r w:rsidRPr="002C202C">
              <w:rPr>
                <w:rFonts w:ascii="Garamond" w:hAnsi="Garamond"/>
              </w:rPr>
              <w:t>de la ley penal económica</w:t>
            </w:r>
            <w:r w:rsidRPr="002C202C">
              <w:rPr>
                <w:rFonts w:ascii="Garamond" w:hAnsi="Garamond"/>
                <w:bCs/>
              </w:rPr>
              <w:t>)</w:t>
            </w:r>
          </w:p>
          <w:p w:rsidR="002C202C" w:rsidRPr="005A4680" w:rsidRDefault="002C202C" w:rsidP="008B1AEB">
            <w:pPr>
              <w:tabs>
                <w:tab w:val="left" w:pos="0"/>
              </w:tabs>
              <w:ind w:left="284"/>
              <w:rPr>
                <w:rFonts w:ascii="Garamond" w:hAnsi="Garamond"/>
                <w:bCs/>
              </w:rPr>
            </w:pPr>
            <w:r w:rsidRPr="005A4680">
              <w:rPr>
                <w:rFonts w:ascii="Garamond" w:hAnsi="Garamond"/>
                <w:bCs/>
              </w:rPr>
              <w:t>- BASCUÑÁN, Antonio: “El derecho intertemporal penal chileno”, Inédito (2014).</w:t>
            </w:r>
          </w:p>
          <w:p w:rsidR="002C202C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 xml:space="preserve">- PAWILK, Michael: “¿Pena o combate de peligros”, InDret 4/2011. </w:t>
            </w:r>
          </w:p>
          <w:p w:rsidR="002C202C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</w:p>
          <w:p w:rsidR="00595C77" w:rsidRDefault="00595C77" w:rsidP="008B1AEB">
            <w:pPr>
              <w:pStyle w:val="Prrafodelista"/>
              <w:tabs>
                <w:tab w:val="left" w:pos="0"/>
              </w:tabs>
              <w:ind w:left="142"/>
              <w:rPr>
                <w:rFonts w:ascii="Garamond" w:hAnsi="Garamond"/>
                <w:sz w:val="24"/>
                <w:szCs w:val="24"/>
                <w:u w:val="single"/>
              </w:rPr>
            </w:pPr>
            <w:r w:rsidRPr="005A4680">
              <w:rPr>
                <w:rFonts w:ascii="Garamond" w:hAnsi="Garamond"/>
                <w:sz w:val="24"/>
                <w:szCs w:val="24"/>
                <w:u w:val="single"/>
              </w:rPr>
              <w:t>Bibliografía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para la clase </w:t>
            </w:r>
            <w:r w:rsidR="0002012F">
              <w:rPr>
                <w:rFonts w:ascii="Garamond" w:hAnsi="Garamond"/>
                <w:sz w:val="24"/>
                <w:szCs w:val="24"/>
                <w:u w:val="single"/>
              </w:rPr>
              <w:t>4</w:t>
            </w:r>
          </w:p>
          <w:p w:rsidR="002C202C" w:rsidRPr="005A4680" w:rsidRDefault="002C202C" w:rsidP="008B1AEB">
            <w:pPr>
              <w:pStyle w:val="Prrafodelista"/>
              <w:tabs>
                <w:tab w:val="left" w:pos="0"/>
              </w:tabs>
              <w:ind w:left="142"/>
              <w:rPr>
                <w:rFonts w:ascii="Garamond" w:hAnsi="Garamond"/>
                <w:sz w:val="24"/>
                <w:szCs w:val="24"/>
              </w:rPr>
            </w:pPr>
            <w:r w:rsidRPr="005A4680">
              <w:rPr>
                <w:rFonts w:ascii="Garamond" w:hAnsi="Garamond"/>
                <w:sz w:val="24"/>
                <w:szCs w:val="24"/>
                <w:u w:val="single"/>
              </w:rPr>
              <w:t>Bibliografía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(accesoriedad administrativa)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1D35B2">
              <w:rPr>
                <w:rFonts w:ascii="Garamond" w:hAnsi="Garamond" w:cs="Times New Roman"/>
                <w:bCs/>
                <w:sz w:val="24"/>
                <w:szCs w:val="24"/>
                <w:u w:val="single"/>
              </w:rPr>
              <w:t>Lecturas oblig</w:t>
            </w: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atorias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Heine, Günter: “Accesoriedad administrativa en el Derecho Penal del Medio Ambiente”, ADPCP tomo 46, 1993, pp. 289-315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Roxin, Claus: Derecho penal, parte general, Civitas, 1997, pp. 756-762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Anteproyecto de Código Pe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nal, Título III, Art. 46 (2014)</w:t>
            </w:r>
          </w:p>
          <w:p w:rsidR="002C202C" w:rsidRPr="001D35B2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u w:val="single"/>
              </w:rPr>
            </w:pPr>
            <w:r w:rsidRPr="001D35B2">
              <w:rPr>
                <w:rFonts w:ascii="Garamond" w:hAnsi="Garamond" w:cs="Times New Roman"/>
                <w:bCs/>
                <w:sz w:val="24"/>
                <w:szCs w:val="24"/>
                <w:u w:val="single"/>
              </w:rPr>
              <w:t>Lecturas complementarias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 Brandariz, José Ángel: “Relación de accesoriedad con el derecho administrativo” en Faraldo (dir.), Ordenación del territorio, patrimonio histórico y medio ambiente en el código penal y la legislación especial, Tirant lo Blanch, 2011, pp. 91-105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 De la Cuesta, Paz: “La accesoriedad administrativa del derecho penal del medio ambiente”, Poenalis 2000.</w:t>
            </w:r>
          </w:p>
          <w:p w:rsidR="002C202C" w:rsidRPr="008B1AEB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 Rojas, Luis Emilio: “Accesoriedad del derecho penal” en van Weezel (ed.), Humanizar y renovar el derecho penal, Estudios en memoria de Enrique Cury, Legal Publishing, 2013, pp. 93-107</w:t>
            </w:r>
          </w:p>
          <w:p w:rsidR="002C202C" w:rsidRPr="005A4680" w:rsidRDefault="002C202C" w:rsidP="008B1AEB">
            <w:pPr>
              <w:tabs>
                <w:tab w:val="left" w:pos="0"/>
              </w:tabs>
              <w:ind w:left="142" w:firstLine="206"/>
              <w:jc w:val="both"/>
              <w:rPr>
                <w:rFonts w:ascii="Garamond" w:hAnsi="Garamond"/>
              </w:rPr>
            </w:pPr>
            <w:r w:rsidRPr="005A4680">
              <w:rPr>
                <w:rFonts w:ascii="Garamond" w:hAnsi="Garamond"/>
                <w:u w:val="single"/>
              </w:rPr>
              <w:t>Bibliografía</w:t>
            </w:r>
            <w:r>
              <w:rPr>
                <w:rFonts w:ascii="Garamond" w:hAnsi="Garamond"/>
                <w:u w:val="single"/>
              </w:rPr>
              <w:t xml:space="preserve"> </w:t>
            </w:r>
            <w:r>
              <w:rPr>
                <w:rFonts w:ascii="Garamond" w:hAnsi="Garamond"/>
              </w:rPr>
              <w:t>(ne bis in ídem)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mallCap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mallCaps/>
                <w:sz w:val="24"/>
                <w:szCs w:val="24"/>
                <w:lang w:val="es-ES"/>
              </w:rPr>
              <w:t>Lecturas obligatorias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Mañalich, Juan Pablo: “El principio ne bis in idem frente a la superposición del derecho penal y el derecho administrativo sancionatorio”, Política Criminal vol. 9 nº 18 (2014), pp. 543-563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Cano Campos, Tomás: “Non bis in idem, prevalencia de la vía penal y teoría de los concursos en el derecho administrativo sancionador”, Revista de Administración Pública nº 156, 2001, pp. 191-238</w:t>
            </w:r>
            <w:r w:rsidRPr="005A4680">
              <w:rPr>
                <w:rStyle w:val="Refdenotaalpie"/>
                <w:rFonts w:ascii="Garamond" w:hAnsi="Garamond" w:cs="Times New Roman"/>
                <w:bCs/>
                <w:sz w:val="24"/>
                <w:szCs w:val="24"/>
                <w:lang w:val="es-ES"/>
              </w:rPr>
              <w:footnoteReference w:customMarkFollows="1" w:id="1"/>
              <w:t>*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mallCap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mallCaps/>
                <w:sz w:val="24"/>
                <w:szCs w:val="24"/>
                <w:lang w:val="es-ES"/>
              </w:rPr>
              <w:t>Lecturas complementarias</w:t>
            </w:r>
          </w:p>
          <w:p w:rsidR="002C202C" w:rsidRPr="005A4680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 Castillo Vera, Francisco: “</w:t>
            </w:r>
            <w:bookmarkStart w:id="1" w:name="OLE_LINK1"/>
            <w:bookmarkStart w:id="2" w:name="OLE_LINK2"/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Vulneración del Principio Non Bis In Idem en el Sistema de Sanciones Estatales (Penales y Administrativas): Inaplicabilidad por Inconstitucionalidad</w:t>
            </w:r>
            <w:bookmarkEnd w:id="1"/>
            <w:bookmarkEnd w:id="2"/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”. Microjuris. Boletín N° MJD321, Doctrina (2009)</w:t>
            </w:r>
          </w:p>
          <w:p w:rsidR="002C202C" w:rsidRDefault="002C202C" w:rsidP="008B1AEB">
            <w:pPr>
              <w:pStyle w:val="Prrafodelista1"/>
              <w:tabs>
                <w:tab w:val="left" w:pos="0"/>
              </w:tabs>
              <w:spacing w:after="0" w:line="240" w:lineRule="auto"/>
              <w:ind w:left="14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Mañalich, Juan Pablo: “El principio ne bis in idem en el derecho penal chileno”, Revista de Estudios de la Justicia nº 15, 2011, pp. 139-169</w:t>
            </w:r>
          </w:p>
          <w:p w:rsidR="008B1AEB" w:rsidRDefault="008B1AEB" w:rsidP="00595C77">
            <w:pPr>
              <w:pStyle w:val="Prrafodelista1"/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</w:p>
          <w:p w:rsidR="008B1AEB" w:rsidRPr="008B1AEB" w:rsidRDefault="008B1AEB" w:rsidP="008B1AEB">
            <w:pPr>
              <w:rPr>
                <w:rFonts w:ascii="Garamond" w:hAnsi="Garamond"/>
                <w:u w:val="single"/>
              </w:rPr>
            </w:pPr>
            <w:r w:rsidRPr="008B1AEB">
              <w:rPr>
                <w:rFonts w:ascii="Garamond" w:hAnsi="Garamond"/>
                <w:u w:val="single"/>
              </w:rPr>
              <w:t>Bibliografía</w:t>
            </w:r>
            <w:r>
              <w:rPr>
                <w:rFonts w:ascii="Garamond" w:hAnsi="Garamond"/>
                <w:u w:val="single"/>
              </w:rPr>
              <w:t xml:space="preserve"> para la clase  </w:t>
            </w:r>
            <w:r w:rsidR="0002012F">
              <w:rPr>
                <w:rFonts w:ascii="Garamond" w:hAnsi="Garamond"/>
                <w:u w:val="single"/>
              </w:rPr>
              <w:t>5</w:t>
            </w:r>
          </w:p>
          <w:p w:rsidR="008B1AEB" w:rsidRPr="008B1AEB" w:rsidRDefault="008B1AEB" w:rsidP="008B1AEB">
            <w:pPr>
              <w:rPr>
                <w:rFonts w:ascii="Garamond" w:hAnsi="Garamond"/>
              </w:rPr>
            </w:pPr>
            <w:r w:rsidRPr="008B1AEB">
              <w:rPr>
                <w:rFonts w:ascii="Garamond" w:hAnsi="Garamond"/>
                <w:u w:val="single"/>
              </w:rPr>
              <w:t xml:space="preserve">Bibliografía </w:t>
            </w:r>
            <w:r w:rsidRPr="008B1AEB">
              <w:rPr>
                <w:rFonts w:ascii="Garamond" w:hAnsi="Garamond"/>
              </w:rPr>
              <w:t>(teoría de las normas)</w:t>
            </w:r>
          </w:p>
          <w:p w:rsidR="008B1AEB" w:rsidRPr="005A4680" w:rsidRDefault="008B1AEB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</w:rPr>
              <w:t>-</w:t>
            </w: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 xml:space="preserve"> Mañalich, Juan Pablo: “Norma e imputación como categorías del hecho punible”, Revista de Estudios de la Justicia, nº 12, 2010, pp. 169-190</w:t>
            </w:r>
          </w:p>
          <w:p w:rsidR="008B1AEB" w:rsidRPr="005A4680" w:rsidRDefault="008B1AEB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________________ “Reglas primarias de obligación”, ZIS 11/2012, pp. 571-585</w:t>
            </w:r>
          </w:p>
          <w:p w:rsidR="008B1AEB" w:rsidRDefault="008B1AEB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Silva Sánchez, Jesús María: Normas y acciones en derecho penal, capítulo 1 “¿Directivas de conducta o expectativas institucionalizadas?”, Hammurabi, 2003, pp. 15-39</w:t>
            </w:r>
          </w:p>
          <w:p w:rsidR="008B1AEB" w:rsidRPr="005A4680" w:rsidRDefault="008B1AEB" w:rsidP="008B1AEB">
            <w:pPr>
              <w:pStyle w:val="Prrafodelista1"/>
              <w:spacing w:after="0" w:line="240" w:lineRule="auto"/>
              <w:ind w:left="502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</w:p>
          <w:p w:rsidR="008B1AEB" w:rsidRPr="004A1CF6" w:rsidRDefault="008B1AEB" w:rsidP="008B1AEB">
            <w:pPr>
              <w:rPr>
                <w:rFonts w:ascii="Garamond" w:hAnsi="Garamond"/>
              </w:rPr>
            </w:pPr>
            <w:r w:rsidRPr="004A1CF6">
              <w:rPr>
                <w:rFonts w:ascii="Garamond" w:hAnsi="Garamond"/>
                <w:u w:val="single"/>
              </w:rPr>
              <w:t>Bibliografía</w:t>
            </w:r>
            <w:r>
              <w:rPr>
                <w:rFonts w:ascii="Garamond" w:hAnsi="Garamond"/>
                <w:u w:val="single"/>
              </w:rPr>
              <w:t xml:space="preserve"> </w:t>
            </w:r>
            <w:r>
              <w:rPr>
                <w:rFonts w:ascii="Garamond" w:hAnsi="Garamond"/>
              </w:rPr>
              <w:t>(bienes jurídicos y estructuras de delitos)</w:t>
            </w:r>
          </w:p>
          <w:p w:rsidR="008B1AEB" w:rsidRPr="005A4680" w:rsidRDefault="008B1AEB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Kindhäuser, Urs: “Estructura y legitimación de los delitos de peligro del derecho penal”, InDret 1/2009.</w:t>
            </w:r>
          </w:p>
          <w:p w:rsidR="008B1AEB" w:rsidRPr="005A4680" w:rsidRDefault="008B1AEB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Kuhlen, Lothar: “Bienes jurídicos y nuevos tipos de delitos”, en Robles Planas (ed.): Límites al derecho penal, Atelier, 2012, pp. 225-235</w:t>
            </w:r>
          </w:p>
          <w:p w:rsidR="002C202C" w:rsidRDefault="002C202C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</w:p>
          <w:p w:rsidR="008B1AEB" w:rsidRPr="005A4680" w:rsidRDefault="008B1AEB" w:rsidP="008B1AEB">
            <w:pPr>
              <w:widowControl w:val="0"/>
              <w:jc w:val="both"/>
              <w:rPr>
                <w:rFonts w:ascii="Garamond" w:hAnsi="Garamond"/>
                <w:bCs/>
              </w:rPr>
            </w:pPr>
            <w:r w:rsidRPr="005A4680">
              <w:rPr>
                <w:rFonts w:ascii="Garamond" w:hAnsi="Garamond"/>
                <w:bCs/>
                <w:u w:val="single"/>
              </w:rPr>
              <w:t>Bibliografía</w:t>
            </w:r>
            <w:r>
              <w:rPr>
                <w:rFonts w:ascii="Garamond" w:hAnsi="Garamond"/>
                <w:bCs/>
              </w:rPr>
              <w:t xml:space="preserve"> para la clase </w:t>
            </w:r>
            <w:r w:rsidR="0002012F">
              <w:rPr>
                <w:rFonts w:ascii="Garamond" w:hAnsi="Garamond"/>
                <w:bCs/>
              </w:rPr>
              <w:t>6</w:t>
            </w:r>
          </w:p>
          <w:p w:rsidR="008B1AEB" w:rsidRPr="005A4680" w:rsidRDefault="008B1AEB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 Frisch, Wolfgang, Estudios sobre imputación objetiva, Lega</w:t>
            </w:r>
            <w:r w:rsidR="0002012F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l</w:t>
            </w: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 xml:space="preserve"> Publishing Chile, Santiago de Chile 2012, pp. 9-91.</w:t>
            </w:r>
          </w:p>
          <w:p w:rsidR="002C202C" w:rsidRDefault="008B1AEB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 xml:space="preserve"> Frisch, Wolfgang, "Problemas fundamentales de la responsabilidad penal de los órganos de </w:t>
            </w:r>
            <w:r w:rsidRPr="005A4680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lastRenderedPageBreak/>
              <w:t>dirección de la empresa. Responsabilidad penal en el ámbito de la responsabilidad de la empresa y de la división del trabajo", en: Responsabilidad penal de las empresas y sus órganos y responsabilidad por el producto, Mir/Luzón (coordinadores), J.M. Bosch, Barcelona 1996, pp. 99-127.</w:t>
            </w:r>
          </w:p>
          <w:p w:rsidR="0002012F" w:rsidRDefault="0002012F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</w:p>
          <w:p w:rsidR="0002012F" w:rsidRDefault="0002012F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 w:rsidRPr="00605B83">
              <w:rPr>
                <w:rFonts w:ascii="Garamond" w:hAnsi="Garamond" w:cs="Times New Roman"/>
                <w:bCs/>
                <w:sz w:val="24"/>
                <w:szCs w:val="24"/>
                <w:u w:val="single"/>
                <w:lang w:val="es-ES"/>
              </w:rPr>
              <w:t>Bibliografía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 xml:space="preserve"> para la clase 7. </w:t>
            </w:r>
          </w:p>
          <w:p w:rsidR="0002012F" w:rsidRDefault="0002012F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-Bacigalupo, Silvina. Autoría y participación en delitos de infracción de deber, Marcial Pons, Madrid, 2007.</w:t>
            </w:r>
          </w:p>
          <w:p w:rsidR="0002012F" w:rsidRDefault="0002012F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-Sánchez L., Fernando Guanarteme ¿Qué es autoría? Revista penal N° 20. Un</w:t>
            </w:r>
            <w:r w:rsidR="00605B83"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iversidad La Laguna, Junio 2007, pp. 167-177</w:t>
            </w:r>
          </w:p>
          <w:p w:rsidR="00605B83" w:rsidRDefault="00605B83" w:rsidP="008B1AEB">
            <w:pPr>
              <w:pStyle w:val="Prrafodelista1"/>
              <w:spacing w:after="0" w:line="240" w:lineRule="auto"/>
              <w:ind w:left="0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  <w:t>-Pérez Cepeda, Ana Isabel: Criminalidad de empresa: problemas de autoría y participación. Pp. 106-121.</w:t>
            </w:r>
          </w:p>
          <w:p w:rsidR="00605B83" w:rsidRDefault="00605B83" w:rsidP="00605B83">
            <w:p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AGaramond-Regular"/>
                <w:lang w:val="es-CL"/>
              </w:rPr>
            </w:pPr>
            <w:r>
              <w:rPr>
                <w:rFonts w:ascii="Garamond" w:hAnsi="Garamond" w:cs="Times New Roman"/>
                <w:bCs/>
                <w:lang w:val="es-ES"/>
              </w:rPr>
              <w:t>-</w:t>
            </w:r>
            <w:r w:rsidRPr="00605B83">
              <w:rPr>
                <w:rFonts w:ascii="Garamond" w:hAnsi="Garamond" w:cs="Times New Roman"/>
                <w:bCs/>
                <w:lang w:val="es-ES"/>
              </w:rPr>
              <w:t xml:space="preserve">Mañalich, Juan Pablo, La estructura de la autoría mediata, </w:t>
            </w:r>
            <w:r w:rsidRPr="00605B83">
              <w:rPr>
                <w:rFonts w:ascii="Garamond" w:eastAsiaTheme="minorHAnsi" w:hAnsi="Garamond" w:cs="AGaramond-Regular"/>
                <w:lang w:val="es-CL"/>
              </w:rPr>
              <w:t>Revista de Derecho</w:t>
            </w:r>
            <w:r>
              <w:rPr>
                <w:rFonts w:ascii="Garamond" w:eastAsiaTheme="minorHAnsi" w:hAnsi="Garamond" w:cs="AGaramond-Regular"/>
                <w:lang w:val="es-CL"/>
              </w:rPr>
              <w:t xml:space="preserve"> </w:t>
            </w:r>
            <w:r w:rsidRPr="00605B83">
              <w:rPr>
                <w:rFonts w:ascii="Garamond" w:eastAsiaTheme="minorHAnsi" w:hAnsi="Garamond" w:cs="AGaramond-Regular"/>
                <w:lang w:val="es-CL"/>
              </w:rPr>
              <w:t>de la Pontificia Uni</w:t>
            </w:r>
            <w:r>
              <w:rPr>
                <w:rFonts w:ascii="Garamond" w:eastAsiaTheme="minorHAnsi" w:hAnsi="Garamond" w:cs="AGaramond-Regular"/>
                <w:lang w:val="es-CL"/>
              </w:rPr>
              <w:t xml:space="preserve">versidad Católica de Valparaíso, </w:t>
            </w:r>
            <w:r w:rsidRPr="00605B83">
              <w:rPr>
                <w:rFonts w:ascii="Garamond" w:eastAsiaTheme="minorHAnsi" w:hAnsi="Garamond" w:cs="AGaramond-Regular"/>
                <w:lang w:val="es-CL"/>
              </w:rPr>
              <w:t xml:space="preserve">XXXIV (Valparaíso, Chile, 1er </w:t>
            </w:r>
            <w:r>
              <w:rPr>
                <w:rFonts w:ascii="Garamond" w:eastAsiaTheme="minorHAnsi" w:hAnsi="Garamond" w:cs="AGaramond-Regular"/>
                <w:lang w:val="es-CL"/>
              </w:rPr>
              <w:t>Semestre de 2010), pp. 385 – 414.</w:t>
            </w:r>
          </w:p>
          <w:p w:rsidR="00605B83" w:rsidRDefault="00605B83" w:rsidP="00605B83">
            <w:p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AGaramond-Regular"/>
                <w:lang w:val="es-CL"/>
              </w:rPr>
            </w:pPr>
            <w:r>
              <w:rPr>
                <w:rFonts w:ascii="Garamond" w:eastAsiaTheme="minorHAnsi" w:hAnsi="Garamond" w:cs="AGaramond-Regular"/>
                <w:lang w:val="es-CL"/>
              </w:rPr>
              <w:t>-Roxin, Claus, Problemas de autoría y participación en la criminalidad organizada, pp. 61-65.</w:t>
            </w:r>
          </w:p>
          <w:p w:rsidR="00605B83" w:rsidRPr="00605B83" w:rsidRDefault="00605B83" w:rsidP="00605B83">
            <w:p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AGaramond-Regular"/>
                <w:lang w:val="es-CL"/>
              </w:rPr>
            </w:pPr>
          </w:p>
          <w:p w:rsidR="002C202C" w:rsidRPr="002C202C" w:rsidRDefault="002C202C" w:rsidP="002C202C">
            <w:pPr>
              <w:pStyle w:val="Prrafodelista1"/>
              <w:tabs>
                <w:tab w:val="left" w:pos="993"/>
              </w:tabs>
              <w:spacing w:after="0" w:line="240" w:lineRule="auto"/>
              <w:ind w:left="284"/>
              <w:rPr>
                <w:rFonts w:ascii="Garamond" w:hAnsi="Garamond" w:cs="Times New Roman"/>
                <w:bCs/>
                <w:sz w:val="24"/>
                <w:szCs w:val="24"/>
                <w:lang w:val="es-ES"/>
              </w:rPr>
            </w:pPr>
          </w:p>
          <w:p w:rsidR="008B1AEB" w:rsidRPr="001D35B2" w:rsidRDefault="008B1AEB" w:rsidP="008B1AEB">
            <w:pPr>
              <w:ind w:left="142"/>
              <w:jc w:val="both"/>
              <w:rPr>
                <w:rFonts w:ascii="Garamond" w:hAnsi="Garamond"/>
                <w:u w:val="single"/>
              </w:rPr>
            </w:pPr>
            <w:r w:rsidRPr="001D35B2">
              <w:rPr>
                <w:rFonts w:ascii="Garamond" w:hAnsi="Garamond"/>
                <w:u w:val="single"/>
              </w:rPr>
              <w:t>Bibliografía</w:t>
            </w:r>
            <w:r>
              <w:rPr>
                <w:rFonts w:ascii="Garamond" w:hAnsi="Garamond"/>
                <w:u w:val="single"/>
              </w:rPr>
              <w:t xml:space="preserve"> para la clase 8</w:t>
            </w:r>
            <w:r w:rsidRPr="001D35B2">
              <w:rPr>
                <w:rFonts w:ascii="Garamond" w:hAnsi="Garamond"/>
                <w:u w:val="single"/>
              </w:rPr>
              <w:t xml:space="preserve"> 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  <w:u w:val="single"/>
              </w:rPr>
            </w:pPr>
            <w:r w:rsidRPr="001D35B2">
              <w:rPr>
                <w:rFonts w:ascii="Garamond" w:hAnsi="Garamond"/>
                <w:u w:val="single"/>
              </w:rPr>
              <w:t>Primera parte</w:t>
            </w:r>
            <w:r w:rsidRPr="005A4680">
              <w:rPr>
                <w:rFonts w:ascii="Garamond" w:hAnsi="Garamond"/>
              </w:rPr>
              <w:t xml:space="preserve"> </w:t>
            </w:r>
            <w:r w:rsidRPr="005A4680">
              <w:rPr>
                <w:rFonts w:ascii="Garamond" w:hAnsi="Garamond"/>
                <w:u w:val="single"/>
              </w:rPr>
              <w:t>Lecturas obligatorias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</w:rPr>
            </w:pPr>
            <w:r w:rsidRPr="005A4680">
              <w:rPr>
                <w:rFonts w:ascii="Garamond" w:hAnsi="Garamond"/>
              </w:rPr>
              <w:t>- MODOLELL GONZÁLEZ, Juan Luis: Teoría del delito, UCAB, Caracas, 2014, pp. 93-111.</w:t>
            </w:r>
          </w:p>
          <w:p w:rsidR="008B1AEB" w:rsidRPr="001D35B2" w:rsidRDefault="008B1AEB" w:rsidP="008B1AEB">
            <w:pPr>
              <w:ind w:left="142"/>
              <w:rPr>
                <w:rFonts w:ascii="Garamond" w:hAnsi="Garamond"/>
                <w:bCs/>
                <w:lang w:val="es-CL"/>
              </w:rPr>
            </w:pPr>
            <w:r w:rsidRPr="005A4680">
              <w:rPr>
                <w:rFonts w:ascii="Garamond" w:hAnsi="Garamond"/>
                <w:bCs/>
              </w:rPr>
              <w:t>- COUSO, Jaime y HERNÁNDEZ, Héctor: Código Penal Comentado. Libro Primero. Abeledo Perrot/Legal Publishing, Santiago, 2011, pp. 53-105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  <w:u w:val="single"/>
              </w:rPr>
            </w:pPr>
            <w:r w:rsidRPr="001D35B2">
              <w:rPr>
                <w:rFonts w:ascii="Garamond" w:hAnsi="Garamond"/>
                <w:u w:val="single"/>
              </w:rPr>
              <w:t>Segunda parte</w:t>
            </w:r>
            <w:r w:rsidRPr="005A4680">
              <w:rPr>
                <w:rFonts w:ascii="Garamond" w:hAnsi="Garamond"/>
              </w:rPr>
              <w:t xml:space="preserve"> </w:t>
            </w:r>
            <w:r w:rsidRPr="005A4680">
              <w:rPr>
                <w:rFonts w:ascii="Garamond" w:hAnsi="Garamond"/>
                <w:u w:val="single"/>
              </w:rPr>
              <w:t>Lecturas obligatorias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</w:rPr>
            </w:pPr>
            <w:r w:rsidRPr="005A4680">
              <w:rPr>
                <w:rFonts w:ascii="Garamond" w:hAnsi="Garamond"/>
              </w:rPr>
              <w:t xml:space="preserve"> -GARCÍA CAVERO, Percy: Derecho penal económico. Parte general, Grijley, Lim</w:t>
            </w:r>
            <w:r>
              <w:rPr>
                <w:rFonts w:ascii="Garamond" w:hAnsi="Garamond"/>
              </w:rPr>
              <w:t>a, 2007, pp. 511-526; y 546-571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  <w:u w:val="single"/>
              </w:rPr>
            </w:pPr>
            <w:r w:rsidRPr="005A4680">
              <w:rPr>
                <w:rFonts w:ascii="Garamond" w:hAnsi="Garamond"/>
                <w:u w:val="single"/>
              </w:rPr>
              <w:t xml:space="preserve">Lecturas complementarias (para ambas </w:t>
            </w:r>
            <w:r>
              <w:rPr>
                <w:rFonts w:ascii="Garamond" w:hAnsi="Garamond"/>
                <w:u w:val="single"/>
              </w:rPr>
              <w:t>partes</w:t>
            </w:r>
            <w:r w:rsidRPr="005A4680">
              <w:rPr>
                <w:rFonts w:ascii="Garamond" w:hAnsi="Garamond"/>
                <w:u w:val="single"/>
              </w:rPr>
              <w:t>)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</w:rPr>
            </w:pPr>
            <w:r w:rsidRPr="005A4680">
              <w:rPr>
                <w:rFonts w:ascii="Garamond" w:hAnsi="Garamond"/>
              </w:rPr>
              <w:t>- ROXIN, Claus: “Acerca de la normativización del dolus eventualis y la doctrina del peligro de dolo”, en su Problemas actuales de dogmática penal, Ara Editores, 2004, pp. 93-115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</w:rPr>
            </w:pPr>
            <w:r w:rsidRPr="005A4680">
              <w:rPr>
                <w:rFonts w:ascii="Garamond" w:hAnsi="Garamond"/>
              </w:rPr>
              <w:t>- RAGUÉS, Ramón: El dolo y su prueba en el proceso penal, Bosch Editor, 1999, pp. 83-103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</w:rPr>
            </w:pPr>
            <w:r w:rsidRPr="005A4680">
              <w:rPr>
                <w:rFonts w:ascii="Garamond" w:hAnsi="Garamond"/>
              </w:rPr>
              <w:t>- MAÑALICH, Juan Pablo: “Sobre la conexión funcional entre el dolo y la consciencia de la antijuridicidad en el derecho penal chileno”, Revista de Estudios de la Justicia nº 16 (2012), pp. 15-30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</w:rPr>
            </w:pPr>
            <w:r w:rsidRPr="005A4680">
              <w:rPr>
                <w:rFonts w:ascii="Garamond" w:hAnsi="Garamond"/>
              </w:rPr>
              <w:t>- MIR PUIG, Santiago: Derecho penal, parte general, 9ª edición, Editorial Reppetor, Barcelona, 2011, pp. 265-280.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  <w:lang w:val="es-CL"/>
              </w:rPr>
            </w:pPr>
            <w:r w:rsidRPr="005A4680">
              <w:rPr>
                <w:rFonts w:ascii="Garamond" w:hAnsi="Garamond"/>
              </w:rPr>
              <w:t xml:space="preserve">- </w:t>
            </w:r>
            <w:r w:rsidRPr="005A4680">
              <w:rPr>
                <w:rFonts w:ascii="Garamond" w:hAnsi="Garamond"/>
                <w:caps/>
              </w:rPr>
              <w:t>Hassemer</w:t>
            </w:r>
            <w:r>
              <w:rPr>
                <w:rFonts w:ascii="Garamond" w:hAnsi="Garamond"/>
              </w:rPr>
              <w:t>, Winfried: “</w:t>
            </w:r>
            <w:r w:rsidRPr="005A4680">
              <w:rPr>
                <w:rFonts w:ascii="Garamond" w:hAnsi="Garamond"/>
              </w:rPr>
              <w:t>Los elem</w:t>
            </w:r>
            <w:r>
              <w:rPr>
                <w:rFonts w:ascii="Garamond" w:hAnsi="Garamond"/>
              </w:rPr>
              <w:t>entos característicos del dolo”</w:t>
            </w:r>
            <w:r w:rsidRPr="005A4680">
              <w:rPr>
                <w:rFonts w:ascii="Garamond" w:hAnsi="Garamond"/>
              </w:rPr>
              <w:t xml:space="preserve"> -trad. de Díaz Pita-, en </w:t>
            </w:r>
            <w:r w:rsidRPr="005A4680">
              <w:rPr>
                <w:rFonts w:ascii="Garamond" w:hAnsi="Garamond"/>
                <w:iCs/>
              </w:rPr>
              <w:t>Anuario de Derecho penal y ciencias penales</w:t>
            </w:r>
            <w:r w:rsidRPr="005A4680">
              <w:rPr>
                <w:rFonts w:ascii="Garamond" w:hAnsi="Garamond"/>
              </w:rPr>
              <w:t>, Madrid, 1990, págs. 909 y ss</w:t>
            </w:r>
          </w:p>
          <w:p w:rsidR="008B1AEB" w:rsidRPr="005A4680" w:rsidRDefault="008B1AEB" w:rsidP="008B1AEB">
            <w:pPr>
              <w:ind w:left="142"/>
              <w:rPr>
                <w:rFonts w:ascii="Garamond" w:hAnsi="Garamond"/>
              </w:rPr>
            </w:pPr>
            <w:r w:rsidRPr="005A4680">
              <w:rPr>
                <w:rFonts w:ascii="Garamond" w:hAnsi="Garamond"/>
              </w:rPr>
              <w:t xml:space="preserve">- </w:t>
            </w:r>
            <w:r w:rsidRPr="005A4680">
              <w:rPr>
                <w:rFonts w:ascii="Garamond" w:hAnsi="Garamond"/>
                <w:caps/>
              </w:rPr>
              <w:t>Welzel</w:t>
            </w:r>
            <w:r w:rsidRPr="005A4680">
              <w:rPr>
                <w:rFonts w:ascii="Garamond" w:hAnsi="Garamond"/>
              </w:rPr>
              <w:t xml:space="preserve">, Hans: </w:t>
            </w:r>
            <w:r w:rsidRPr="005A4680">
              <w:rPr>
                <w:rFonts w:ascii="Garamond" w:hAnsi="Garamond"/>
                <w:iCs/>
              </w:rPr>
              <w:t>El nuevo sistema del Derecho penal</w:t>
            </w:r>
            <w:r w:rsidRPr="005A4680">
              <w:rPr>
                <w:rFonts w:ascii="Garamond" w:hAnsi="Garamond"/>
              </w:rPr>
              <w:t xml:space="preserve"> -trad. de Cerezo Mir-, B de F, Montevideo-Buenos Aires, 2001, pp. 97-109</w:t>
            </w:r>
          </w:p>
          <w:p w:rsidR="008B721B" w:rsidRPr="008B1AEB" w:rsidRDefault="008B721B" w:rsidP="003371F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B721B" w:rsidRPr="005401E3" w:rsidRDefault="008B721B" w:rsidP="003371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5401E3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</w:tbl>
    <w:p w:rsidR="008B721B" w:rsidRPr="005401E3" w:rsidRDefault="008B721B" w:rsidP="008B721B">
      <w:pPr>
        <w:rPr>
          <w:rFonts w:ascii="Times New Roman" w:hAnsi="Times New Roman" w:cs="Times New Roman"/>
        </w:rPr>
      </w:pPr>
    </w:p>
    <w:p w:rsidR="00FA4415" w:rsidRDefault="00FA4415"/>
    <w:sectPr w:rsidR="00FA4415" w:rsidSect="00867744">
      <w:headerReference w:type="default" r:id="rId8"/>
      <w:footerReference w:type="default" r:id="rId9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C9" w:rsidRDefault="00153EC9">
      <w:r>
        <w:separator/>
      </w:r>
    </w:p>
  </w:endnote>
  <w:endnote w:type="continuationSeparator" w:id="0">
    <w:p w:rsidR="00153EC9" w:rsidRDefault="0015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1F" w:rsidRPr="009F1F1F" w:rsidRDefault="008B721B">
    <w:pPr>
      <w:pStyle w:val="Piedepgina"/>
      <w:jc w:val="right"/>
      <w:rPr>
        <w:rFonts w:ascii="Times New Roman" w:hAnsi="Times New Roman" w:cs="Times New Roman"/>
      </w:rPr>
    </w:pPr>
    <w:r w:rsidRPr="009F1F1F">
      <w:rPr>
        <w:rFonts w:ascii="Times New Roman" w:hAnsi="Times New Roman" w:cs="Times New Roman"/>
      </w:rPr>
      <w:fldChar w:fldCharType="begin"/>
    </w:r>
    <w:r w:rsidRPr="009F1F1F">
      <w:rPr>
        <w:rFonts w:ascii="Times New Roman" w:hAnsi="Times New Roman" w:cs="Times New Roman"/>
      </w:rPr>
      <w:instrText>PAGE   \* MERGEFORMAT</w:instrText>
    </w:r>
    <w:r w:rsidRPr="009F1F1F">
      <w:rPr>
        <w:rFonts w:ascii="Times New Roman" w:hAnsi="Times New Roman" w:cs="Times New Roman"/>
      </w:rPr>
      <w:fldChar w:fldCharType="separate"/>
    </w:r>
    <w:r w:rsidR="00032BB4" w:rsidRPr="00032BB4">
      <w:rPr>
        <w:rFonts w:ascii="Times New Roman" w:hAnsi="Times New Roman" w:cs="Times New Roman"/>
        <w:noProof/>
        <w:lang w:val="es-ES"/>
      </w:rPr>
      <w:t>3</w:t>
    </w:r>
    <w:r w:rsidRPr="009F1F1F">
      <w:rPr>
        <w:rFonts w:ascii="Times New Roman" w:hAnsi="Times New Roman" w:cs="Times New Roman"/>
      </w:rPr>
      <w:fldChar w:fldCharType="end"/>
    </w:r>
  </w:p>
  <w:p w:rsidR="009F1F1F" w:rsidRDefault="00153E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C9" w:rsidRDefault="00153EC9">
      <w:r>
        <w:separator/>
      </w:r>
    </w:p>
  </w:footnote>
  <w:footnote w:type="continuationSeparator" w:id="0">
    <w:p w:rsidR="00153EC9" w:rsidRDefault="00153EC9">
      <w:r>
        <w:continuationSeparator/>
      </w:r>
    </w:p>
  </w:footnote>
  <w:footnote w:id="1">
    <w:p w:rsidR="002C202C" w:rsidRPr="00A77996" w:rsidRDefault="002C202C" w:rsidP="002C202C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B7" w:rsidRDefault="008B721B" w:rsidP="00FE0184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4E312DB8" wp14:editId="4FB3BEF0">
          <wp:extent cx="2238375" cy="809625"/>
          <wp:effectExtent l="0" t="0" r="9525" b="9525"/>
          <wp:docPr id="1" name="Imagen 1" descr="Logo_escuela_postg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escuela_postg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845"/>
    <w:multiLevelType w:val="hybridMultilevel"/>
    <w:tmpl w:val="936C0C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3510"/>
    <w:multiLevelType w:val="hybridMultilevel"/>
    <w:tmpl w:val="92A427D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3B7D"/>
    <w:multiLevelType w:val="hybridMultilevel"/>
    <w:tmpl w:val="D284AF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B3B55"/>
    <w:multiLevelType w:val="hybridMultilevel"/>
    <w:tmpl w:val="E38AB804"/>
    <w:lvl w:ilvl="0" w:tplc="7FAA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12CE5"/>
    <w:multiLevelType w:val="hybridMultilevel"/>
    <w:tmpl w:val="88B4D904"/>
    <w:lvl w:ilvl="0" w:tplc="0F42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1B"/>
    <w:rsid w:val="0002012F"/>
    <w:rsid w:val="00032BB4"/>
    <w:rsid w:val="0007629B"/>
    <w:rsid w:val="00153EC9"/>
    <w:rsid w:val="00180256"/>
    <w:rsid w:val="002272AF"/>
    <w:rsid w:val="002C202C"/>
    <w:rsid w:val="00356CE8"/>
    <w:rsid w:val="00481C01"/>
    <w:rsid w:val="00595C77"/>
    <w:rsid w:val="00605B83"/>
    <w:rsid w:val="006C4509"/>
    <w:rsid w:val="007E3EA7"/>
    <w:rsid w:val="00867744"/>
    <w:rsid w:val="008B1AEB"/>
    <w:rsid w:val="008B721B"/>
    <w:rsid w:val="00A54CF7"/>
    <w:rsid w:val="00BA31A1"/>
    <w:rsid w:val="00BC5188"/>
    <w:rsid w:val="00E97D4B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1B"/>
    <w:pPr>
      <w:spacing w:after="0"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72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21B"/>
    <w:rPr>
      <w:rFonts w:ascii="Cambria" w:eastAsia="Cambria" w:hAnsi="Cambria" w:cs="Cambr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8B72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21B"/>
    <w:rPr>
      <w:rFonts w:ascii="Cambria" w:eastAsia="Cambria" w:hAnsi="Cambria" w:cs="Cambr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2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1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C202C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2C202C"/>
    <w:pPr>
      <w:spacing w:after="200" w:line="276" w:lineRule="auto"/>
      <w:ind w:left="720"/>
      <w:jc w:val="both"/>
    </w:pPr>
    <w:rPr>
      <w:rFonts w:ascii="Goudy Old Style" w:eastAsia="Times New Roman" w:hAnsi="Goudy Old Style" w:cs="Goudy Old Style"/>
      <w:sz w:val="20"/>
      <w:szCs w:val="20"/>
      <w:lang w:val="es-CL"/>
    </w:rPr>
  </w:style>
  <w:style w:type="paragraph" w:styleId="Textonotapie">
    <w:name w:val="footnote text"/>
    <w:basedOn w:val="Normal"/>
    <w:link w:val="TextonotapieCar"/>
    <w:semiHidden/>
    <w:rsid w:val="002C202C"/>
    <w:pPr>
      <w:spacing w:after="200" w:line="276" w:lineRule="auto"/>
      <w:jc w:val="both"/>
    </w:pPr>
    <w:rPr>
      <w:rFonts w:ascii="Goudy Old Style" w:eastAsia="Times New Roman" w:hAnsi="Goudy Old Style" w:cs="Goudy Old Style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semiHidden/>
    <w:rsid w:val="002C202C"/>
    <w:rPr>
      <w:rFonts w:ascii="Goudy Old Style" w:eastAsia="Times New Roman" w:hAnsi="Goudy Old Style" w:cs="Goudy Old Style"/>
      <w:sz w:val="20"/>
      <w:szCs w:val="20"/>
    </w:rPr>
  </w:style>
  <w:style w:type="character" w:styleId="Refdenotaalpie">
    <w:name w:val="footnote reference"/>
    <w:basedOn w:val="Fuentedeprrafopredeter"/>
    <w:semiHidden/>
    <w:rsid w:val="002C2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1B"/>
    <w:pPr>
      <w:spacing w:after="0"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72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21B"/>
    <w:rPr>
      <w:rFonts w:ascii="Cambria" w:eastAsia="Cambria" w:hAnsi="Cambria" w:cs="Cambr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8B72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21B"/>
    <w:rPr>
      <w:rFonts w:ascii="Cambria" w:eastAsia="Cambria" w:hAnsi="Cambria" w:cs="Cambr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2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1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C202C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2C202C"/>
    <w:pPr>
      <w:spacing w:after="200" w:line="276" w:lineRule="auto"/>
      <w:ind w:left="720"/>
      <w:jc w:val="both"/>
    </w:pPr>
    <w:rPr>
      <w:rFonts w:ascii="Goudy Old Style" w:eastAsia="Times New Roman" w:hAnsi="Goudy Old Style" w:cs="Goudy Old Style"/>
      <w:sz w:val="20"/>
      <w:szCs w:val="20"/>
      <w:lang w:val="es-CL"/>
    </w:rPr>
  </w:style>
  <w:style w:type="paragraph" w:styleId="Textonotapie">
    <w:name w:val="footnote text"/>
    <w:basedOn w:val="Normal"/>
    <w:link w:val="TextonotapieCar"/>
    <w:semiHidden/>
    <w:rsid w:val="002C202C"/>
    <w:pPr>
      <w:spacing w:after="200" w:line="276" w:lineRule="auto"/>
      <w:jc w:val="both"/>
    </w:pPr>
    <w:rPr>
      <w:rFonts w:ascii="Goudy Old Style" w:eastAsia="Times New Roman" w:hAnsi="Goudy Old Style" w:cs="Goudy Old Style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semiHidden/>
    <w:rsid w:val="002C202C"/>
    <w:rPr>
      <w:rFonts w:ascii="Goudy Old Style" w:eastAsia="Times New Roman" w:hAnsi="Goudy Old Style" w:cs="Goudy Old Style"/>
      <w:sz w:val="20"/>
      <w:szCs w:val="20"/>
    </w:rPr>
  </w:style>
  <w:style w:type="character" w:styleId="Refdenotaalpie">
    <w:name w:val="footnote reference"/>
    <w:basedOn w:val="Fuentedeprrafopredeter"/>
    <w:semiHidden/>
    <w:rsid w:val="002C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2100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Bullemore</dc:creator>
  <cp:lastModifiedBy>Vivian Bullemore</cp:lastModifiedBy>
  <cp:revision>10</cp:revision>
  <cp:lastPrinted>2016-08-04T00:02:00Z</cp:lastPrinted>
  <dcterms:created xsi:type="dcterms:W3CDTF">2016-07-28T21:50:00Z</dcterms:created>
  <dcterms:modified xsi:type="dcterms:W3CDTF">2016-08-23T13:23:00Z</dcterms:modified>
</cp:coreProperties>
</file>