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6" w:rsidRPr="00BC44A7" w:rsidRDefault="00D85B66" w:rsidP="00D85B66">
      <w:pPr>
        <w:jc w:val="center"/>
        <w:rPr>
          <w:rFonts w:ascii="Arial" w:hAnsi="Arial" w:cs="Arial"/>
          <w:b/>
          <w:color w:val="000080"/>
        </w:rPr>
      </w:pPr>
      <w:r w:rsidRPr="00BC44A7">
        <w:rPr>
          <w:rFonts w:ascii="Arial" w:hAnsi="Arial" w:cs="Arial"/>
          <w:b/>
          <w:color w:val="000080"/>
        </w:rPr>
        <w:t>PROGRAMA</w:t>
      </w:r>
      <w:r w:rsidR="0063131E" w:rsidRPr="00BC44A7">
        <w:rPr>
          <w:rFonts w:ascii="Arial" w:hAnsi="Arial" w:cs="Arial"/>
          <w:b/>
          <w:color w:val="000080"/>
        </w:rPr>
        <w:t xml:space="preserve"> DE DOCTORADO</w:t>
      </w:r>
    </w:p>
    <w:p w:rsidR="00BC5DFD" w:rsidRPr="00BC44A7" w:rsidRDefault="0063131E" w:rsidP="00D85B66">
      <w:pPr>
        <w:jc w:val="center"/>
        <w:rPr>
          <w:rFonts w:ascii="Arial" w:hAnsi="Arial" w:cs="Arial"/>
          <w:b/>
          <w:color w:val="000080"/>
        </w:rPr>
      </w:pPr>
      <w:r w:rsidRPr="00BC44A7">
        <w:rPr>
          <w:rFonts w:ascii="Arial" w:hAnsi="Arial" w:cs="Arial"/>
          <w:b/>
          <w:color w:val="000080"/>
        </w:rPr>
        <w:t>Primer</w:t>
      </w:r>
      <w:r w:rsidR="00BC5DFD" w:rsidRPr="00BC44A7">
        <w:rPr>
          <w:rFonts w:ascii="Arial" w:hAnsi="Arial" w:cs="Arial"/>
          <w:b/>
          <w:color w:val="000080"/>
        </w:rPr>
        <w:t xml:space="preserve"> semestre 20</w:t>
      </w:r>
      <w:r w:rsidRPr="00BC44A7">
        <w:rPr>
          <w:rFonts w:ascii="Arial" w:hAnsi="Arial" w:cs="Arial"/>
          <w:b/>
          <w:color w:val="000080"/>
        </w:rPr>
        <w:t>17</w:t>
      </w:r>
    </w:p>
    <w:p w:rsidR="00D85B66" w:rsidRPr="00BC44A7" w:rsidRDefault="00D85B66" w:rsidP="00D85B66">
      <w:pPr>
        <w:rPr>
          <w:rFonts w:ascii="Arial" w:hAnsi="Arial" w:cs="Arial"/>
          <w:color w:val="000080"/>
        </w:rPr>
      </w:pPr>
    </w:p>
    <w:tbl>
      <w:tblPr>
        <w:tblW w:w="9574" w:type="dxa"/>
        <w:tblInd w:w="-2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060"/>
        <w:gridCol w:w="6514"/>
      </w:tblGrid>
      <w:tr w:rsidR="00D85B66" w:rsidRPr="00BC44A7" w:rsidTr="00BC44A7">
        <w:trPr>
          <w:trHeight w:val="698"/>
        </w:trPr>
        <w:tc>
          <w:tcPr>
            <w:tcW w:w="3060" w:type="dxa"/>
            <w:shd w:val="clear" w:color="auto" w:fill="auto"/>
            <w:vAlign w:val="center"/>
          </w:tcPr>
          <w:p w:rsidR="00D85B66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Nombre del curso</w:t>
            </w:r>
          </w:p>
        </w:tc>
        <w:tc>
          <w:tcPr>
            <w:tcW w:w="6514" w:type="dxa"/>
            <w:shd w:val="clear" w:color="auto" w:fill="auto"/>
          </w:tcPr>
          <w:p w:rsidR="00D85B66" w:rsidRPr="00BC44A7" w:rsidRDefault="0063131E" w:rsidP="00BC5DFD">
            <w:r w:rsidRPr="00BC44A7">
              <w:t>Lecturas de Teoría del Derecho</w:t>
            </w:r>
          </w:p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Naturaleza</w:t>
            </w:r>
          </w:p>
          <w:p w:rsidR="00CA7F98" w:rsidRPr="00BC44A7" w:rsidRDefault="00CA7F98" w:rsidP="00BC5DF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BC44A7">
              <w:rPr>
                <w:rFonts w:ascii="Arial" w:hAnsi="Arial" w:cs="Arial"/>
                <w:color w:val="000080"/>
                <w:sz w:val="18"/>
                <w:szCs w:val="18"/>
              </w:rPr>
              <w:t>(obligatorio, optativo o electivo)</w:t>
            </w:r>
          </w:p>
        </w:tc>
        <w:tc>
          <w:tcPr>
            <w:tcW w:w="6514" w:type="dxa"/>
            <w:shd w:val="clear" w:color="auto" w:fill="auto"/>
          </w:tcPr>
          <w:p w:rsidR="00BC5DFD" w:rsidRPr="00BC44A7" w:rsidRDefault="0063131E" w:rsidP="00BC5DFD">
            <w:r w:rsidRPr="00BC44A7">
              <w:t>Obligatorio</w:t>
            </w:r>
          </w:p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Requisitos</w:t>
            </w:r>
          </w:p>
        </w:tc>
        <w:tc>
          <w:tcPr>
            <w:tcW w:w="6514" w:type="dxa"/>
            <w:shd w:val="clear" w:color="auto" w:fill="auto"/>
          </w:tcPr>
          <w:p w:rsidR="00BC5DFD" w:rsidRPr="00BC44A7" w:rsidRDefault="00BC5DFD" w:rsidP="00BC5DFD"/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Número de Créditos</w:t>
            </w:r>
          </w:p>
        </w:tc>
        <w:tc>
          <w:tcPr>
            <w:tcW w:w="6514" w:type="dxa"/>
            <w:shd w:val="clear" w:color="auto" w:fill="auto"/>
          </w:tcPr>
          <w:p w:rsidR="00BC5DFD" w:rsidRPr="00BC44A7" w:rsidRDefault="0063131E" w:rsidP="00BC5DFD">
            <w:r w:rsidRPr="00BC44A7">
              <w:t>12</w:t>
            </w:r>
          </w:p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I. Descripción del curso</w:t>
            </w:r>
          </w:p>
        </w:tc>
        <w:tc>
          <w:tcPr>
            <w:tcW w:w="6514" w:type="dxa"/>
            <w:shd w:val="clear" w:color="auto" w:fill="auto"/>
          </w:tcPr>
          <w:p w:rsidR="00BC5DFD" w:rsidRPr="00BC44A7" w:rsidRDefault="00FB4825" w:rsidP="00F71A55">
            <w:pPr>
              <w:jc w:val="both"/>
            </w:pPr>
            <w:r w:rsidRPr="00BC44A7">
              <w:t>Se trata de un curso avanzado de teoría general de derecho, con</w:t>
            </w:r>
            <w:r w:rsidRPr="00BC44A7">
              <w:t>s</w:t>
            </w:r>
            <w:r w:rsidRPr="00BC44A7">
              <w:t>truido como un curso monográfico y no enciclopédico, fund</w:t>
            </w:r>
            <w:r w:rsidRPr="00BC44A7">
              <w:t>a</w:t>
            </w:r>
            <w:r w:rsidRPr="00BC44A7">
              <w:t>mentalmente anclado a la tradición de la filosofía analítica.</w:t>
            </w:r>
          </w:p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II. Objetivos Generales</w:t>
            </w:r>
          </w:p>
        </w:tc>
        <w:tc>
          <w:tcPr>
            <w:tcW w:w="6514" w:type="dxa"/>
            <w:shd w:val="clear" w:color="auto" w:fill="auto"/>
          </w:tcPr>
          <w:p w:rsidR="00BC5DFD" w:rsidRPr="00BC44A7" w:rsidRDefault="00FE348F" w:rsidP="00F71A55">
            <w:pPr>
              <w:jc w:val="both"/>
              <w:rPr>
                <w:lang w:val="es-ES_tradnl"/>
              </w:rPr>
            </w:pPr>
            <w:r w:rsidRPr="00BC44A7">
              <w:rPr>
                <w:lang w:val="es-ES_tradnl"/>
              </w:rPr>
              <w:t xml:space="preserve">El curso tiene como objetivo fundamental </w:t>
            </w:r>
            <w:r w:rsidR="004906F8" w:rsidRPr="00BC44A7">
              <w:rPr>
                <w:lang w:val="es-ES_tradnl"/>
              </w:rPr>
              <w:t>que las y lo</w:t>
            </w:r>
            <w:r w:rsidRPr="00BC44A7">
              <w:rPr>
                <w:lang w:val="es-ES_tradnl"/>
              </w:rPr>
              <w:t xml:space="preserve">s </w:t>
            </w:r>
            <w:r w:rsidR="00EE7A2B" w:rsidRPr="00BC44A7">
              <w:rPr>
                <w:lang w:val="es-ES_tradnl"/>
              </w:rPr>
              <w:t>doctora</w:t>
            </w:r>
            <w:r w:rsidR="00EE7A2B" w:rsidRPr="00BC44A7">
              <w:rPr>
                <w:lang w:val="es-ES_tradnl"/>
              </w:rPr>
              <w:t>n</w:t>
            </w:r>
            <w:r w:rsidR="00EE7A2B" w:rsidRPr="00BC44A7">
              <w:rPr>
                <w:lang w:val="es-ES_tradnl"/>
              </w:rPr>
              <w:t xml:space="preserve">dos </w:t>
            </w:r>
            <w:r w:rsidRPr="00BC44A7">
              <w:rPr>
                <w:lang w:val="es-ES_tradnl"/>
              </w:rPr>
              <w:t>se familiaricen en profundidad con</w:t>
            </w:r>
            <w:r w:rsidR="00EE7A2B" w:rsidRPr="00BC44A7">
              <w:rPr>
                <w:lang w:val="es-ES_tradnl"/>
              </w:rPr>
              <w:t xml:space="preserve"> ciertas debates fund</w:t>
            </w:r>
            <w:r w:rsidR="00EE7A2B" w:rsidRPr="00BC44A7">
              <w:rPr>
                <w:lang w:val="es-ES_tradnl"/>
              </w:rPr>
              <w:t>a</w:t>
            </w:r>
            <w:r w:rsidR="00EE7A2B" w:rsidRPr="00BC44A7">
              <w:rPr>
                <w:lang w:val="es-ES_tradnl"/>
              </w:rPr>
              <w:t>mentales de la teoría general del derecho,</w:t>
            </w:r>
            <w:r w:rsidR="00AB6486" w:rsidRPr="00BC44A7">
              <w:rPr>
                <w:lang w:val="es-ES_tradnl"/>
              </w:rPr>
              <w:t xml:space="preserve"> que serán examin</w:t>
            </w:r>
            <w:r w:rsidR="00AB6486" w:rsidRPr="00BC44A7">
              <w:rPr>
                <w:lang w:val="es-ES_tradnl"/>
              </w:rPr>
              <w:t>a</w:t>
            </w:r>
            <w:r w:rsidR="00AB6486" w:rsidRPr="00BC44A7">
              <w:rPr>
                <w:lang w:val="es-ES_tradnl"/>
              </w:rPr>
              <w:t>dos desde el punto de vista de la pregunta por la complejidad de la conexión existente entre derecho e interpretación</w:t>
            </w:r>
            <w:r w:rsidR="00EE7A2B" w:rsidRPr="00BC44A7">
              <w:rPr>
                <w:lang w:val="es-ES_tradnl"/>
              </w:rPr>
              <w:t>.</w:t>
            </w:r>
          </w:p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III. Objetivos específicos</w:t>
            </w:r>
          </w:p>
        </w:tc>
        <w:tc>
          <w:tcPr>
            <w:tcW w:w="6514" w:type="dxa"/>
            <w:shd w:val="clear" w:color="auto" w:fill="auto"/>
          </w:tcPr>
          <w:p w:rsidR="00BC5DFD" w:rsidRPr="00BC44A7" w:rsidRDefault="004906F8" w:rsidP="00F71A55">
            <w:pPr>
              <w:jc w:val="both"/>
            </w:pPr>
            <w:r w:rsidRPr="00BC44A7">
              <w:t>Específicamente, el curso persigue que las y los doctorandos:</w:t>
            </w:r>
          </w:p>
          <w:p w:rsidR="004906F8" w:rsidRPr="00BC44A7" w:rsidRDefault="004906F8" w:rsidP="00F71A55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C44A7">
              <w:t>lleguen a ser capaces de diferenciar claramente los dif</w:t>
            </w:r>
            <w:r w:rsidRPr="00BC44A7">
              <w:t>e</w:t>
            </w:r>
            <w:r w:rsidRPr="00BC44A7">
              <w:t>rentes dominios a través de los cuales se extiende la te</w:t>
            </w:r>
            <w:r w:rsidRPr="00BC44A7">
              <w:t>o</w:t>
            </w:r>
            <w:r w:rsidRPr="00BC44A7">
              <w:t>riz</w:t>
            </w:r>
            <w:r w:rsidRPr="00BC44A7">
              <w:t>a</w:t>
            </w:r>
            <w:r w:rsidRPr="00BC44A7">
              <w:t>ción del derecho;</w:t>
            </w:r>
          </w:p>
          <w:p w:rsidR="004906F8" w:rsidRPr="00BC44A7" w:rsidRDefault="004906F8" w:rsidP="00F71A55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C44A7">
              <w:t xml:space="preserve">adquieran conocimientos avanzados en lo concerniente a la indagación ontológica acerca de la naturaleza </w:t>
            </w:r>
            <w:r w:rsidR="00FB4825" w:rsidRPr="00BC44A7">
              <w:t>específ</w:t>
            </w:r>
            <w:r w:rsidR="00FB4825" w:rsidRPr="00BC44A7">
              <w:t>i</w:t>
            </w:r>
            <w:r w:rsidR="00FB4825" w:rsidRPr="00BC44A7">
              <w:t xml:space="preserve">camente </w:t>
            </w:r>
            <w:r w:rsidRPr="00BC44A7">
              <w:t>institucional del derecho;</w:t>
            </w:r>
          </w:p>
          <w:p w:rsidR="004906F8" w:rsidRPr="00BC44A7" w:rsidRDefault="004906F8" w:rsidP="00F71A55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C44A7">
              <w:t xml:space="preserve">se hagan de herramientas analíticas sofisticadas para </w:t>
            </w:r>
            <w:r w:rsidR="00FB4825" w:rsidRPr="00BC44A7">
              <w:t>r</w:t>
            </w:r>
            <w:r w:rsidR="00FB4825" w:rsidRPr="00BC44A7">
              <w:t>e</w:t>
            </w:r>
            <w:r w:rsidR="00FB4825" w:rsidRPr="00BC44A7">
              <w:t>conocer y diferenciar los contextos de pertinencia de la actividad interpretativa como método de determinación del d</w:t>
            </w:r>
            <w:r w:rsidR="00FB4825" w:rsidRPr="00BC44A7">
              <w:t>e</w:t>
            </w:r>
            <w:r w:rsidR="00FB4825" w:rsidRPr="00BC44A7">
              <w:t>recho.</w:t>
            </w:r>
          </w:p>
        </w:tc>
      </w:tr>
      <w:tr w:rsidR="00BC5DFD" w:rsidRPr="00BC44A7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IV.  Contenidos</w:t>
            </w:r>
          </w:p>
        </w:tc>
        <w:tc>
          <w:tcPr>
            <w:tcW w:w="6514" w:type="dxa"/>
            <w:shd w:val="clear" w:color="auto" w:fill="auto"/>
          </w:tcPr>
          <w:p w:rsidR="00FE348F" w:rsidRPr="00AF6B5D" w:rsidRDefault="00FE348F" w:rsidP="00AF6B5D">
            <w:pPr>
              <w:jc w:val="center"/>
              <w:rPr>
                <w:smallCaps/>
              </w:rPr>
            </w:pPr>
            <w:r w:rsidRPr="00BC44A7">
              <w:rPr>
                <w:smallCaps/>
              </w:rPr>
              <w:t>Pr</w:t>
            </w:r>
            <w:r w:rsidR="00BC44A7" w:rsidRPr="00BC44A7">
              <w:rPr>
                <w:smallCaps/>
              </w:rPr>
              <w:t>imera</w:t>
            </w:r>
            <w:r w:rsidR="00AF6B5D">
              <w:rPr>
                <w:smallCaps/>
              </w:rPr>
              <w:t xml:space="preserve"> parte: aspectos de</w:t>
            </w:r>
            <w:r w:rsidRPr="00BC44A7">
              <w:rPr>
                <w:smallCaps/>
              </w:rPr>
              <w:t xml:space="preserve"> la teorización del d</w:t>
            </w:r>
            <w:r w:rsidRPr="00BC44A7">
              <w:rPr>
                <w:smallCaps/>
              </w:rPr>
              <w:t>e</w:t>
            </w:r>
            <w:r w:rsidRPr="00BC44A7">
              <w:rPr>
                <w:smallCaps/>
              </w:rPr>
              <w:t>recho</w:t>
            </w:r>
          </w:p>
          <w:p w:rsidR="00AF6B5D" w:rsidRPr="00BC44A7" w:rsidRDefault="00AF6B5D" w:rsidP="00F71A55">
            <w:pPr>
              <w:jc w:val="both"/>
            </w:pPr>
          </w:p>
          <w:p w:rsidR="00FE348F" w:rsidRPr="00AF6B5D" w:rsidRDefault="00FE348F" w:rsidP="00F71A5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F6B5D">
              <w:rPr>
                <w:b/>
                <w:color w:val="000000"/>
              </w:rPr>
              <w:t>1. Los problemas de la teoría del derecho</w:t>
            </w:r>
            <w:r w:rsidR="00822FC9">
              <w:rPr>
                <w:b/>
                <w:color w:val="000000"/>
              </w:rPr>
              <w:t>: un bosquejo</w:t>
            </w:r>
          </w:p>
          <w:p w:rsidR="00FE348F" w:rsidRPr="00BC44A7" w:rsidRDefault="00FE348F" w:rsidP="00BC44A7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Hart</w:t>
            </w:r>
            <w:proofErr w:type="spellEnd"/>
            <w:r w:rsidRPr="00BC44A7">
              <w:rPr>
                <w:color w:val="000000"/>
              </w:rPr>
              <w:t>, “</w:t>
            </w:r>
            <w:proofErr w:type="spellStart"/>
            <w:r w:rsidRPr="00BC44A7">
              <w:rPr>
                <w:color w:val="000000"/>
              </w:rPr>
              <w:t>Problems</w:t>
            </w:r>
            <w:proofErr w:type="spellEnd"/>
            <w:r w:rsidRPr="00BC44A7">
              <w:rPr>
                <w:color w:val="000000"/>
              </w:rPr>
              <w:t xml:space="preserve"> of </w:t>
            </w:r>
            <w:proofErr w:type="spellStart"/>
            <w:r w:rsidRPr="00BC44A7">
              <w:rPr>
                <w:color w:val="000000"/>
              </w:rPr>
              <w:t>the</w:t>
            </w:r>
            <w:proofErr w:type="spellEnd"/>
            <w:r w:rsidRPr="00BC44A7">
              <w:rPr>
                <w:color w:val="000000"/>
              </w:rPr>
              <w:t xml:space="preserve"> </w:t>
            </w:r>
            <w:proofErr w:type="spellStart"/>
            <w:r w:rsidRPr="00BC44A7">
              <w:rPr>
                <w:color w:val="000000"/>
              </w:rPr>
              <w:t>Philosophy</w:t>
            </w:r>
            <w:proofErr w:type="spellEnd"/>
            <w:r w:rsidRPr="00BC44A7">
              <w:rPr>
                <w:color w:val="000000"/>
              </w:rPr>
              <w:t xml:space="preserve"> of </w:t>
            </w:r>
            <w:proofErr w:type="spellStart"/>
            <w:r w:rsidRPr="00BC44A7">
              <w:rPr>
                <w:color w:val="000000"/>
              </w:rPr>
              <w:t>Law</w:t>
            </w:r>
            <w:proofErr w:type="spellEnd"/>
            <w:r w:rsidRPr="00BC44A7">
              <w:rPr>
                <w:color w:val="000000"/>
              </w:rPr>
              <w:t>”</w:t>
            </w:r>
          </w:p>
          <w:p w:rsidR="00FE348F" w:rsidRPr="00BC44A7" w:rsidRDefault="00FE348F" w:rsidP="00BC44A7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Bobbio</w:t>
            </w:r>
            <w:proofErr w:type="spellEnd"/>
            <w:r w:rsidRPr="00BC44A7">
              <w:rPr>
                <w:color w:val="000000"/>
              </w:rPr>
              <w:t>,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>Contribución a la Teoría del Derecho: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color w:val="000000"/>
              </w:rPr>
              <w:t>73-101</w:t>
            </w:r>
          </w:p>
          <w:p w:rsidR="00FE348F" w:rsidRPr="00BC44A7" w:rsidRDefault="00FE348F" w:rsidP="00AF6B5D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Guastini</w:t>
            </w:r>
            <w:proofErr w:type="spellEnd"/>
            <w:r w:rsidRPr="00BC44A7">
              <w:rPr>
                <w:color w:val="000000"/>
              </w:rPr>
              <w:t>,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>Distinguiendo</w:t>
            </w:r>
            <w:r w:rsidRPr="00BC44A7">
              <w:rPr>
                <w:color w:val="000000"/>
              </w:rPr>
              <w:t>: 15-28</w:t>
            </w:r>
          </w:p>
          <w:p w:rsidR="00FE348F" w:rsidRPr="00AF6B5D" w:rsidRDefault="00FE348F" w:rsidP="00F71A5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F6B5D">
              <w:rPr>
                <w:b/>
                <w:color w:val="000000"/>
              </w:rPr>
              <w:t xml:space="preserve">2. El problema ontológico </w:t>
            </w:r>
            <w:r w:rsidR="00AF6B5D">
              <w:rPr>
                <w:b/>
                <w:color w:val="000000"/>
              </w:rPr>
              <w:t xml:space="preserve">y el aparato </w:t>
            </w:r>
            <w:r w:rsidRPr="00AF6B5D">
              <w:rPr>
                <w:b/>
                <w:color w:val="000000"/>
              </w:rPr>
              <w:t>conceptual</w:t>
            </w:r>
          </w:p>
          <w:p w:rsidR="00FE348F" w:rsidRPr="00BC44A7" w:rsidRDefault="00FE348F" w:rsidP="00BC44A7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Hart</w:t>
            </w:r>
            <w:proofErr w:type="spellEnd"/>
            <w:r w:rsidRPr="00BC44A7">
              <w:rPr>
                <w:color w:val="000000"/>
              </w:rPr>
              <w:t>,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44A7">
              <w:rPr>
                <w:i/>
                <w:iCs/>
                <w:color w:val="000000"/>
              </w:rPr>
              <w:t>The</w:t>
            </w:r>
            <w:proofErr w:type="spellEnd"/>
            <w:r w:rsidRPr="00BC44A7">
              <w:rPr>
                <w:i/>
                <w:iCs/>
                <w:color w:val="000000"/>
              </w:rPr>
              <w:t xml:space="preserve"> Concept of </w:t>
            </w:r>
            <w:proofErr w:type="spellStart"/>
            <w:r w:rsidRPr="00BC44A7">
              <w:rPr>
                <w:i/>
                <w:iCs/>
                <w:color w:val="000000"/>
              </w:rPr>
              <w:t>Law</w:t>
            </w:r>
            <w:proofErr w:type="spellEnd"/>
            <w:r w:rsidRPr="00BC44A7">
              <w:rPr>
                <w:i/>
                <w:iCs/>
                <w:color w:val="000000"/>
              </w:rPr>
              <w:t xml:space="preserve"> </w:t>
            </w:r>
            <w:r w:rsidRPr="00BC44A7">
              <w:rPr>
                <w:iCs/>
                <w:color w:val="000000"/>
              </w:rPr>
              <w:t>(</w:t>
            </w:r>
            <w:r w:rsidR="00F71A55" w:rsidRPr="00BC44A7">
              <w:rPr>
                <w:iCs/>
                <w:color w:val="000000"/>
              </w:rPr>
              <w:t>“</w:t>
            </w:r>
            <w:r w:rsidR="00F71A55" w:rsidRPr="00BC44A7">
              <w:rPr>
                <w:iCs/>
                <w:color w:val="000000"/>
                <w:lang w:val="en-US"/>
              </w:rPr>
              <w:t>Postscript”</w:t>
            </w:r>
            <w:r w:rsidRPr="00BC44A7">
              <w:rPr>
                <w:iCs/>
                <w:color w:val="000000"/>
              </w:rPr>
              <w:t>)</w:t>
            </w:r>
            <w:r w:rsidRPr="00BC44A7">
              <w:rPr>
                <w:color w:val="000000"/>
              </w:rPr>
              <w:t>: 238-271</w:t>
            </w:r>
          </w:p>
          <w:p w:rsidR="00FE348F" w:rsidRDefault="00FE348F" w:rsidP="00BC44A7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Atria</w:t>
            </w:r>
            <w:proofErr w:type="spellEnd"/>
            <w:r w:rsidRPr="00BC44A7">
              <w:rPr>
                <w:color w:val="000000"/>
              </w:rPr>
              <w:t>,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>La forma del derecho</w:t>
            </w:r>
            <w:r w:rsidRPr="00BC44A7">
              <w:rPr>
                <w:color w:val="000000"/>
              </w:rPr>
              <w:t>: 49-94</w:t>
            </w:r>
          </w:p>
          <w:p w:rsidR="00BC44A7" w:rsidRPr="00AF6B5D" w:rsidRDefault="00AF6B5D" w:rsidP="00AF6B5D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Moore, “Legal </w:t>
            </w:r>
            <w:proofErr w:type="spellStart"/>
            <w:r>
              <w:rPr>
                <w:color w:val="000000"/>
              </w:rPr>
              <w:t>Reality</w:t>
            </w:r>
            <w:proofErr w:type="spellEnd"/>
            <w:r>
              <w:rPr>
                <w:color w:val="000000"/>
              </w:rPr>
              <w:t>…”</w:t>
            </w:r>
          </w:p>
          <w:p w:rsidR="00FE348F" w:rsidRPr="00AF6B5D" w:rsidRDefault="00FE348F" w:rsidP="00F71A5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F6B5D">
              <w:rPr>
                <w:b/>
                <w:color w:val="000000"/>
              </w:rPr>
              <w:t>3. El problema político y la forma institucional</w:t>
            </w:r>
          </w:p>
          <w:p w:rsidR="00FE348F" w:rsidRPr="00AF6B5D" w:rsidRDefault="00FE348F" w:rsidP="00BC44A7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r w:rsidRPr="00AF6B5D">
              <w:rPr>
                <w:color w:val="000000"/>
              </w:rPr>
              <w:t>Novoa,</w:t>
            </w:r>
            <w:r w:rsidRPr="00AF6B5D">
              <w:rPr>
                <w:rStyle w:val="apple-converted-space"/>
                <w:color w:val="000000"/>
              </w:rPr>
              <w:t> </w:t>
            </w:r>
            <w:r w:rsidRPr="00AF6B5D">
              <w:rPr>
                <w:i/>
                <w:iCs/>
                <w:color w:val="000000"/>
              </w:rPr>
              <w:t>E</w:t>
            </w:r>
            <w:r w:rsidR="008026E6" w:rsidRPr="00AF6B5D">
              <w:rPr>
                <w:i/>
                <w:iCs/>
                <w:color w:val="000000"/>
              </w:rPr>
              <w:t>l derecho como obstáculo al</w:t>
            </w:r>
            <w:r w:rsidRPr="00AF6B5D">
              <w:rPr>
                <w:i/>
                <w:iCs/>
                <w:color w:val="000000"/>
              </w:rPr>
              <w:t xml:space="preserve"> cambio social</w:t>
            </w:r>
            <w:r w:rsidRPr="00AF6B5D">
              <w:rPr>
                <w:color w:val="000000"/>
              </w:rPr>
              <w:t>: 105-123</w:t>
            </w:r>
          </w:p>
          <w:p w:rsidR="00FE348F" w:rsidRDefault="00FE348F" w:rsidP="00BC44A7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 w:rsidRPr="00AF6B5D">
              <w:rPr>
                <w:color w:val="000000"/>
              </w:rPr>
              <w:t>MacCormick</w:t>
            </w:r>
            <w:proofErr w:type="spellEnd"/>
            <w:r w:rsidRPr="00AF6B5D">
              <w:rPr>
                <w:color w:val="000000"/>
              </w:rPr>
              <w:t>,</w:t>
            </w:r>
            <w:r w:rsidRPr="00AF6B5D">
              <w:rPr>
                <w:rStyle w:val="apple-converted-space"/>
                <w:color w:val="000000"/>
              </w:rPr>
              <w:t> </w:t>
            </w:r>
            <w:proofErr w:type="spellStart"/>
            <w:r w:rsidRPr="00AF6B5D">
              <w:rPr>
                <w:i/>
                <w:iCs/>
                <w:color w:val="000000"/>
              </w:rPr>
              <w:t>Institutions</w:t>
            </w:r>
            <w:proofErr w:type="spellEnd"/>
            <w:r w:rsidRPr="00AF6B5D">
              <w:rPr>
                <w:i/>
                <w:iCs/>
                <w:color w:val="000000"/>
              </w:rPr>
              <w:t xml:space="preserve"> of </w:t>
            </w:r>
            <w:proofErr w:type="spellStart"/>
            <w:r w:rsidRPr="00AF6B5D">
              <w:rPr>
                <w:i/>
                <w:iCs/>
                <w:color w:val="000000"/>
              </w:rPr>
              <w:t>Law</w:t>
            </w:r>
            <w:proofErr w:type="spellEnd"/>
            <w:r w:rsidRPr="00AF6B5D">
              <w:rPr>
                <w:color w:val="000000"/>
              </w:rPr>
              <w:t>: 11-60</w:t>
            </w:r>
          </w:p>
          <w:p w:rsidR="00BC44A7" w:rsidRPr="00AF6B5D" w:rsidRDefault="00AF6B5D" w:rsidP="00AF6B5D">
            <w:pPr>
              <w:shd w:val="clear" w:color="auto" w:fill="FFFFFF"/>
              <w:ind w:left="3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Komesar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AF6B5D">
              <w:rPr>
                <w:i/>
                <w:color w:val="000000"/>
              </w:rPr>
              <w:t>Imperfect</w:t>
            </w:r>
            <w:proofErr w:type="spellEnd"/>
            <w:r w:rsidRPr="00AF6B5D">
              <w:rPr>
                <w:i/>
                <w:color w:val="000000"/>
              </w:rPr>
              <w:t xml:space="preserve"> </w:t>
            </w:r>
            <w:proofErr w:type="spellStart"/>
            <w:r w:rsidRPr="00AF6B5D">
              <w:rPr>
                <w:i/>
                <w:color w:val="000000"/>
              </w:rPr>
              <w:t>Alternatives</w:t>
            </w:r>
            <w:proofErr w:type="spellEnd"/>
            <w:r>
              <w:rPr>
                <w:color w:val="000000"/>
              </w:rPr>
              <w:t>: 1-13</w:t>
            </w:r>
          </w:p>
          <w:p w:rsidR="00AF6B5D" w:rsidRPr="00BC44A7" w:rsidRDefault="00AF6B5D" w:rsidP="00F71A55">
            <w:pPr>
              <w:jc w:val="both"/>
            </w:pPr>
          </w:p>
          <w:p w:rsidR="00FE348F" w:rsidRPr="00BC44A7" w:rsidRDefault="00FE348F" w:rsidP="00F71A55">
            <w:pPr>
              <w:jc w:val="both"/>
              <w:rPr>
                <w:smallCaps/>
              </w:rPr>
            </w:pPr>
            <w:r w:rsidRPr="00BC44A7">
              <w:rPr>
                <w:smallCaps/>
              </w:rPr>
              <w:t>Segunda parte: el derecho como interpretación</w:t>
            </w:r>
          </w:p>
          <w:p w:rsidR="00FE348F" w:rsidRPr="00BC44A7" w:rsidRDefault="00FE348F" w:rsidP="00F71A55">
            <w:pPr>
              <w:jc w:val="both"/>
            </w:pPr>
          </w:p>
          <w:p w:rsidR="00FE348F" w:rsidRPr="00822FC9" w:rsidRDefault="00FE348F" w:rsidP="00F71A55">
            <w:pPr>
              <w:jc w:val="both"/>
              <w:rPr>
                <w:b/>
              </w:rPr>
            </w:pPr>
            <w:r w:rsidRPr="00822FC9">
              <w:rPr>
                <w:b/>
              </w:rPr>
              <w:t>4. El derecho como dimensión de la realidad institucional</w:t>
            </w:r>
          </w:p>
          <w:p w:rsidR="00FE348F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Searle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Making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the</w:t>
            </w:r>
            <w:proofErr w:type="spellEnd"/>
            <w:r w:rsidRPr="00BC44A7">
              <w:rPr>
                <w:i/>
              </w:rPr>
              <w:t xml:space="preserve"> Social </w:t>
            </w:r>
            <w:proofErr w:type="spellStart"/>
            <w:r w:rsidRPr="00BC44A7">
              <w:rPr>
                <w:i/>
              </w:rPr>
              <w:t>World</w:t>
            </w:r>
            <w:proofErr w:type="spellEnd"/>
            <w:r w:rsidRPr="00BC44A7">
              <w:t>: 25-60, 90-122</w:t>
            </w:r>
          </w:p>
          <w:p w:rsidR="00FE348F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MacCormick</w:t>
            </w:r>
            <w:proofErr w:type="spellEnd"/>
            <w:r w:rsidRPr="00BC44A7">
              <w:t>, “</w:t>
            </w:r>
            <w:proofErr w:type="spellStart"/>
            <w:r w:rsidRPr="00BC44A7">
              <w:t>Law</w:t>
            </w:r>
            <w:proofErr w:type="spellEnd"/>
            <w:r w:rsidRPr="00BC44A7">
              <w:t xml:space="preserve"> as </w:t>
            </w:r>
            <w:proofErr w:type="spellStart"/>
            <w:r w:rsidRPr="00BC44A7">
              <w:t>Institutional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Fact</w:t>
            </w:r>
            <w:proofErr w:type="spellEnd"/>
            <w:r w:rsidRPr="00BC44A7">
              <w:t>”</w:t>
            </w:r>
          </w:p>
          <w:p w:rsidR="00FE348F" w:rsidRPr="00BC44A7" w:rsidRDefault="00FE348F" w:rsidP="00AF6B5D">
            <w:pPr>
              <w:ind w:left="311"/>
              <w:jc w:val="both"/>
            </w:pPr>
            <w:proofErr w:type="spellStart"/>
            <w:r w:rsidRPr="00BC44A7">
              <w:lastRenderedPageBreak/>
              <w:t>Shapiro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Legality</w:t>
            </w:r>
            <w:proofErr w:type="spellEnd"/>
            <w:r w:rsidRPr="00BC44A7">
              <w:t>: 1-50, 193-233</w:t>
            </w:r>
          </w:p>
          <w:p w:rsidR="00FE348F" w:rsidRPr="00822FC9" w:rsidRDefault="00FE348F" w:rsidP="00F71A55">
            <w:pPr>
              <w:jc w:val="both"/>
              <w:rPr>
                <w:b/>
              </w:rPr>
            </w:pPr>
            <w:r w:rsidRPr="00822FC9">
              <w:rPr>
                <w:b/>
              </w:rPr>
              <w:t xml:space="preserve">5. El derecho como práctica interpretativa </w:t>
            </w:r>
          </w:p>
          <w:p w:rsidR="00FE348F" w:rsidRPr="00BC44A7" w:rsidRDefault="00FE348F" w:rsidP="00BC44A7">
            <w:pPr>
              <w:tabs>
                <w:tab w:val="left" w:pos="3606"/>
              </w:tabs>
              <w:ind w:left="311"/>
              <w:jc w:val="both"/>
            </w:pPr>
            <w:proofErr w:type="spellStart"/>
            <w:r w:rsidRPr="00BC44A7">
              <w:t>Dworkin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Law’s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Empire</w:t>
            </w:r>
            <w:proofErr w:type="spellEnd"/>
            <w:r w:rsidRPr="00BC44A7">
              <w:t>: 87-113, 225-275</w:t>
            </w:r>
            <w:r w:rsidRPr="00BC44A7">
              <w:tab/>
            </w:r>
          </w:p>
          <w:p w:rsidR="00FE348F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Brandom</w:t>
            </w:r>
            <w:proofErr w:type="spellEnd"/>
            <w:r w:rsidRPr="00BC44A7">
              <w:t xml:space="preserve">, “A </w:t>
            </w:r>
            <w:proofErr w:type="spellStart"/>
            <w:r w:rsidRPr="00BC44A7">
              <w:t>Hegelian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Model</w:t>
            </w:r>
            <w:proofErr w:type="spellEnd"/>
            <w:r w:rsidR="00BC44A7" w:rsidRPr="00BC44A7">
              <w:t>…</w:t>
            </w:r>
            <w:r w:rsidRPr="00BC44A7">
              <w:t>”</w:t>
            </w:r>
          </w:p>
          <w:p w:rsidR="00FE348F" w:rsidRPr="00BC44A7" w:rsidRDefault="00FE348F" w:rsidP="00AF6B5D">
            <w:pPr>
              <w:ind w:left="311"/>
              <w:jc w:val="both"/>
            </w:pPr>
            <w:r w:rsidRPr="00BC44A7">
              <w:t>Patterson, “</w:t>
            </w:r>
            <w:proofErr w:type="spellStart"/>
            <w:r w:rsidRPr="00BC44A7">
              <w:t>Law’s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Pragmatism</w:t>
            </w:r>
            <w:proofErr w:type="spellEnd"/>
            <w:r w:rsidRPr="00BC44A7">
              <w:t>”</w:t>
            </w:r>
          </w:p>
          <w:p w:rsidR="00FE348F" w:rsidRPr="00822FC9" w:rsidRDefault="00FE348F" w:rsidP="00F71A55">
            <w:pPr>
              <w:jc w:val="both"/>
              <w:rPr>
                <w:b/>
              </w:rPr>
            </w:pPr>
            <w:r w:rsidRPr="00822FC9">
              <w:rPr>
                <w:b/>
              </w:rPr>
              <w:t xml:space="preserve">6. Contra el </w:t>
            </w:r>
            <w:proofErr w:type="spellStart"/>
            <w:r w:rsidRPr="00822FC9">
              <w:rPr>
                <w:b/>
              </w:rPr>
              <w:t>interpretativismo</w:t>
            </w:r>
            <w:proofErr w:type="spellEnd"/>
          </w:p>
          <w:p w:rsidR="00FE348F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Marmor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Interpretation</w:t>
            </w:r>
            <w:proofErr w:type="spellEnd"/>
            <w:r w:rsidRPr="00BC44A7">
              <w:rPr>
                <w:i/>
              </w:rPr>
              <w:t xml:space="preserve"> and Legal </w:t>
            </w:r>
            <w:proofErr w:type="spellStart"/>
            <w:r w:rsidRPr="00BC44A7">
              <w:rPr>
                <w:i/>
              </w:rPr>
              <w:t>Theory</w:t>
            </w:r>
            <w:proofErr w:type="spellEnd"/>
            <w:r w:rsidRPr="00BC44A7">
              <w:t>:  27-64</w:t>
            </w:r>
          </w:p>
          <w:p w:rsidR="00FE348F" w:rsidRPr="00BC44A7" w:rsidRDefault="00FE348F" w:rsidP="00BC44A7">
            <w:pPr>
              <w:ind w:left="311"/>
              <w:jc w:val="both"/>
            </w:pPr>
            <w:r w:rsidRPr="00BC44A7">
              <w:t>Moore, “</w:t>
            </w:r>
            <w:proofErr w:type="spellStart"/>
            <w:r w:rsidRPr="00BC44A7">
              <w:t>The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Interpretive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Turn</w:t>
            </w:r>
            <w:proofErr w:type="spellEnd"/>
            <w:r w:rsidRPr="00BC44A7">
              <w:t xml:space="preserve"> in Modern </w:t>
            </w:r>
            <w:proofErr w:type="spellStart"/>
            <w:r w:rsidRPr="00BC44A7">
              <w:t>Theory</w:t>
            </w:r>
            <w:proofErr w:type="spellEnd"/>
            <w:r w:rsidRPr="00BC44A7">
              <w:t>”</w:t>
            </w:r>
          </w:p>
          <w:p w:rsidR="00FE348F" w:rsidRPr="00BC44A7" w:rsidRDefault="00FE348F" w:rsidP="00BC44A7">
            <w:pPr>
              <w:ind w:left="311"/>
              <w:jc w:val="both"/>
            </w:pPr>
            <w:r w:rsidRPr="00BC44A7">
              <w:t>Patterson, “</w:t>
            </w:r>
            <w:proofErr w:type="spellStart"/>
            <w:r w:rsidRPr="00BC44A7">
              <w:t>The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Poverty</w:t>
            </w:r>
            <w:proofErr w:type="spellEnd"/>
            <w:r w:rsidRPr="00BC44A7">
              <w:t xml:space="preserve"> of </w:t>
            </w:r>
            <w:proofErr w:type="spellStart"/>
            <w:r w:rsidRPr="00BC44A7">
              <w:t>Interpretive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Universalism</w:t>
            </w:r>
            <w:proofErr w:type="spellEnd"/>
            <w:r w:rsidRPr="00BC44A7">
              <w:t>”</w:t>
            </w:r>
          </w:p>
          <w:p w:rsidR="00FE348F" w:rsidRPr="00BC44A7" w:rsidRDefault="00FE348F" w:rsidP="00F71A55">
            <w:pPr>
              <w:jc w:val="both"/>
            </w:pPr>
          </w:p>
          <w:p w:rsidR="00FE348F" w:rsidRPr="00BC44A7" w:rsidRDefault="00FE348F" w:rsidP="00F71A55">
            <w:pPr>
              <w:jc w:val="both"/>
              <w:rPr>
                <w:smallCaps/>
              </w:rPr>
            </w:pPr>
            <w:r w:rsidRPr="00BC44A7">
              <w:rPr>
                <w:smallCaps/>
              </w:rPr>
              <w:t>Tercera parte: la interpretación en el derecho</w:t>
            </w:r>
          </w:p>
          <w:p w:rsidR="00FE348F" w:rsidRPr="00BC44A7" w:rsidRDefault="00FE348F" w:rsidP="00F71A55">
            <w:pPr>
              <w:jc w:val="both"/>
            </w:pPr>
          </w:p>
          <w:p w:rsidR="00FE348F" w:rsidRPr="00822FC9" w:rsidRDefault="00FE348F" w:rsidP="00F71A55">
            <w:pPr>
              <w:jc w:val="both"/>
              <w:rPr>
                <w:b/>
              </w:rPr>
            </w:pPr>
            <w:r w:rsidRPr="00822FC9">
              <w:rPr>
                <w:b/>
              </w:rPr>
              <w:t xml:space="preserve">7. La </w:t>
            </w:r>
            <w:r w:rsidR="00822FC9">
              <w:rPr>
                <w:b/>
              </w:rPr>
              <w:t>interpretación como actividad y como método</w:t>
            </w:r>
          </w:p>
          <w:p w:rsidR="00FE348F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Guastini</w:t>
            </w:r>
            <w:proofErr w:type="spellEnd"/>
            <w:r w:rsidRPr="00BC44A7">
              <w:t xml:space="preserve">, </w:t>
            </w:r>
            <w:r w:rsidRPr="00BC44A7">
              <w:rPr>
                <w:i/>
              </w:rPr>
              <w:t>Interpretar y argumentar</w:t>
            </w:r>
            <w:r w:rsidR="00D30B8F" w:rsidRPr="00BC44A7">
              <w:t>:</w:t>
            </w:r>
            <w:r w:rsidR="00644F54" w:rsidRPr="00BC44A7">
              <w:t xml:space="preserve"> 31-53, 77-87,</w:t>
            </w:r>
            <w:r w:rsidR="00D30B8F" w:rsidRPr="00BC44A7">
              <w:t xml:space="preserve"> 105</w:t>
            </w:r>
            <w:r w:rsidRPr="00BC44A7">
              <w:t>-114</w:t>
            </w:r>
          </w:p>
          <w:p w:rsidR="009A74C7" w:rsidRPr="00BC44A7" w:rsidRDefault="009A74C7" w:rsidP="00BC44A7">
            <w:pPr>
              <w:ind w:left="311"/>
              <w:jc w:val="both"/>
            </w:pPr>
            <w:proofErr w:type="spellStart"/>
            <w:r w:rsidRPr="00BC44A7">
              <w:t>Wróblewski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The</w:t>
            </w:r>
            <w:proofErr w:type="spellEnd"/>
            <w:r w:rsidRPr="00BC44A7">
              <w:rPr>
                <w:i/>
              </w:rPr>
              <w:t xml:space="preserve"> Judicial </w:t>
            </w:r>
            <w:proofErr w:type="spellStart"/>
            <w:r w:rsidRPr="00BC44A7">
              <w:rPr>
                <w:i/>
              </w:rPr>
              <w:t>Application</w:t>
            </w:r>
            <w:proofErr w:type="spellEnd"/>
            <w:r w:rsidRPr="00BC44A7">
              <w:rPr>
                <w:i/>
              </w:rPr>
              <w:t xml:space="preserve"> of  </w:t>
            </w:r>
            <w:proofErr w:type="spellStart"/>
            <w:r w:rsidRPr="00BC44A7">
              <w:rPr>
                <w:i/>
              </w:rPr>
              <w:t>Law</w:t>
            </w:r>
            <w:proofErr w:type="spellEnd"/>
            <w:r w:rsidRPr="00BC44A7">
              <w:t>: 87-130</w:t>
            </w:r>
          </w:p>
          <w:p w:rsidR="00D30B8F" w:rsidRPr="00BC44A7" w:rsidRDefault="00D30B8F" w:rsidP="00AF6B5D">
            <w:pPr>
              <w:ind w:left="311"/>
              <w:jc w:val="both"/>
            </w:pPr>
            <w:proofErr w:type="spellStart"/>
            <w:r w:rsidRPr="00BC44A7">
              <w:t>Chiassoni</w:t>
            </w:r>
            <w:proofErr w:type="spellEnd"/>
            <w:r w:rsidRPr="00BC44A7">
              <w:t xml:space="preserve">, </w:t>
            </w:r>
            <w:r w:rsidRPr="00BC44A7">
              <w:rPr>
                <w:i/>
              </w:rPr>
              <w:t>Técnicas de interpretación jurídica</w:t>
            </w:r>
            <w:r w:rsidRPr="00BC44A7">
              <w:t>: 55-153</w:t>
            </w:r>
          </w:p>
          <w:p w:rsidR="00FE348F" w:rsidRPr="00822FC9" w:rsidRDefault="00FE348F" w:rsidP="00F71A55">
            <w:pPr>
              <w:jc w:val="both"/>
              <w:rPr>
                <w:b/>
              </w:rPr>
            </w:pPr>
            <w:r w:rsidRPr="00822FC9">
              <w:rPr>
                <w:b/>
              </w:rPr>
              <w:t>8. Realismo</w:t>
            </w:r>
            <w:r w:rsidR="00822FC9">
              <w:rPr>
                <w:b/>
              </w:rPr>
              <w:t xml:space="preserve"> jurídico y escepticismo</w:t>
            </w:r>
          </w:p>
          <w:p w:rsidR="00FE348F" w:rsidRPr="00BC44A7" w:rsidRDefault="00FE348F" w:rsidP="00BC44A7">
            <w:pPr>
              <w:ind w:left="311"/>
              <w:jc w:val="both"/>
            </w:pPr>
            <w:r w:rsidRPr="00BC44A7">
              <w:t xml:space="preserve">Ross, </w:t>
            </w:r>
            <w:proofErr w:type="spellStart"/>
            <w:r w:rsidRPr="00BC44A7">
              <w:rPr>
                <w:i/>
              </w:rPr>
              <w:t>On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Law</w:t>
            </w:r>
            <w:proofErr w:type="spellEnd"/>
            <w:r w:rsidRPr="00BC44A7">
              <w:rPr>
                <w:i/>
              </w:rPr>
              <w:t xml:space="preserve"> and </w:t>
            </w:r>
            <w:proofErr w:type="spellStart"/>
            <w:r w:rsidRPr="00BC44A7">
              <w:rPr>
                <w:i/>
              </w:rPr>
              <w:t>Justice</w:t>
            </w:r>
            <w:proofErr w:type="spellEnd"/>
            <w:r w:rsidR="009A74C7" w:rsidRPr="00BC44A7">
              <w:t xml:space="preserve">: </w:t>
            </w:r>
            <w:r w:rsidRPr="00BC44A7">
              <w:t>108-157</w:t>
            </w:r>
          </w:p>
          <w:p w:rsidR="0049424D" w:rsidRPr="00BC44A7" w:rsidRDefault="0049424D" w:rsidP="00BC44A7">
            <w:pPr>
              <w:ind w:left="311"/>
              <w:jc w:val="both"/>
            </w:pPr>
            <w:proofErr w:type="spellStart"/>
            <w:r w:rsidRPr="00BC44A7">
              <w:t>Guastini</w:t>
            </w:r>
            <w:proofErr w:type="spellEnd"/>
            <w:r w:rsidRPr="00BC44A7">
              <w:t>, “El realismo jurídico redefinido”</w:t>
            </w:r>
          </w:p>
          <w:p w:rsidR="00FE348F" w:rsidRPr="00BC44A7" w:rsidRDefault="00FE348F" w:rsidP="00AF6B5D">
            <w:pPr>
              <w:ind w:left="311"/>
              <w:jc w:val="both"/>
            </w:pPr>
            <w:proofErr w:type="spellStart"/>
            <w:r w:rsidRPr="00BC44A7">
              <w:t>Guastini</w:t>
            </w:r>
            <w:proofErr w:type="spellEnd"/>
            <w:r w:rsidRPr="00BC44A7">
              <w:t>, “Fundamentos de una teoría escéptica</w:t>
            </w:r>
            <w:r w:rsidR="00BC44A7" w:rsidRPr="00BC44A7">
              <w:t>…</w:t>
            </w:r>
            <w:r w:rsidRPr="00BC44A7">
              <w:t>”</w:t>
            </w:r>
          </w:p>
          <w:p w:rsidR="00FE348F" w:rsidRPr="00822FC9" w:rsidRDefault="00FE348F" w:rsidP="00F71A55">
            <w:pPr>
              <w:jc w:val="both"/>
              <w:rPr>
                <w:b/>
              </w:rPr>
            </w:pPr>
            <w:r w:rsidRPr="00822FC9">
              <w:rPr>
                <w:b/>
              </w:rPr>
              <w:t xml:space="preserve">9. La racionalidad de la interpretación </w:t>
            </w:r>
          </w:p>
          <w:p w:rsidR="00D30B8F" w:rsidRPr="00BC44A7" w:rsidRDefault="00D30B8F" w:rsidP="00BC44A7">
            <w:pPr>
              <w:ind w:left="311"/>
              <w:jc w:val="both"/>
            </w:pPr>
            <w:r w:rsidRPr="00BC44A7">
              <w:t>Moore, “</w:t>
            </w:r>
            <w:proofErr w:type="spellStart"/>
            <w:r w:rsidRPr="00BC44A7">
              <w:t>Interpreting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Interpretation</w:t>
            </w:r>
            <w:proofErr w:type="spellEnd"/>
            <w:r w:rsidRPr="00BC44A7">
              <w:t>”</w:t>
            </w:r>
          </w:p>
          <w:p w:rsidR="00FE348F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Shapiro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Legality</w:t>
            </w:r>
            <w:proofErr w:type="spellEnd"/>
            <w:r w:rsidRPr="00BC44A7">
              <w:t>: 259-281, 331-387</w:t>
            </w:r>
          </w:p>
          <w:p w:rsidR="00BC5DFD" w:rsidRPr="00BC44A7" w:rsidRDefault="00FE348F" w:rsidP="00BC44A7">
            <w:pPr>
              <w:ind w:left="311"/>
              <w:jc w:val="both"/>
            </w:pPr>
            <w:proofErr w:type="spellStart"/>
            <w:r w:rsidRPr="00BC44A7">
              <w:t>Klatt</w:t>
            </w:r>
            <w:proofErr w:type="spellEnd"/>
            <w:r w:rsidRPr="00BC44A7">
              <w:t xml:space="preserve">, </w:t>
            </w:r>
            <w:proofErr w:type="spellStart"/>
            <w:r w:rsidRPr="00BC44A7">
              <w:rPr>
                <w:i/>
              </w:rPr>
              <w:t>Making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the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Law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Explicit</w:t>
            </w:r>
            <w:proofErr w:type="spellEnd"/>
            <w:r w:rsidRPr="00BC44A7">
              <w:t>: 207-282</w:t>
            </w:r>
          </w:p>
        </w:tc>
      </w:tr>
      <w:tr w:rsidR="00943CBF" w:rsidRPr="00BC44A7" w:rsidTr="00BC44A7">
        <w:trPr>
          <w:trHeight w:val="1072"/>
        </w:trPr>
        <w:tc>
          <w:tcPr>
            <w:tcW w:w="3060" w:type="dxa"/>
            <w:shd w:val="clear" w:color="auto" w:fill="auto"/>
            <w:vAlign w:val="center"/>
          </w:tcPr>
          <w:p w:rsidR="00943CBF" w:rsidRPr="00BC44A7" w:rsidRDefault="00943CBF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lastRenderedPageBreak/>
              <w:t>V. Régimen de asiste</w:t>
            </w:r>
            <w:r w:rsidRPr="00BC44A7">
              <w:rPr>
                <w:rFonts w:ascii="Arial" w:hAnsi="Arial" w:cs="Arial"/>
                <w:b/>
                <w:color w:val="000080"/>
              </w:rPr>
              <w:t>n</w:t>
            </w:r>
            <w:r w:rsidRPr="00BC44A7">
              <w:rPr>
                <w:rFonts w:ascii="Arial" w:hAnsi="Arial" w:cs="Arial"/>
                <w:b/>
                <w:color w:val="000080"/>
              </w:rPr>
              <w:t>cia</w:t>
            </w:r>
          </w:p>
        </w:tc>
        <w:tc>
          <w:tcPr>
            <w:tcW w:w="6514" w:type="dxa"/>
            <w:shd w:val="clear" w:color="auto" w:fill="auto"/>
          </w:tcPr>
          <w:p w:rsidR="00FE348F" w:rsidRPr="00BC44A7" w:rsidRDefault="00FE348F" w:rsidP="00F71A55">
            <w:pPr>
              <w:jc w:val="both"/>
            </w:pPr>
          </w:p>
          <w:p w:rsidR="00943CBF" w:rsidRPr="00BC44A7" w:rsidRDefault="00FE348F" w:rsidP="00F71A55">
            <w:pPr>
              <w:jc w:val="both"/>
            </w:pPr>
            <w:r w:rsidRPr="00BC44A7">
              <w:t>La asistencia a las nueve sesiones será obligatoria.</w:t>
            </w:r>
          </w:p>
        </w:tc>
      </w:tr>
      <w:tr w:rsidR="00943CBF" w:rsidRPr="00BC44A7" w:rsidTr="00BC44A7">
        <w:trPr>
          <w:trHeight w:val="1030"/>
        </w:trPr>
        <w:tc>
          <w:tcPr>
            <w:tcW w:w="3060" w:type="dxa"/>
            <w:shd w:val="clear" w:color="auto" w:fill="auto"/>
            <w:vAlign w:val="center"/>
          </w:tcPr>
          <w:p w:rsidR="00943CBF" w:rsidRPr="00BC44A7" w:rsidRDefault="00943CBF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VI. Controles y ponder</w:t>
            </w:r>
            <w:r w:rsidRPr="00BC44A7">
              <w:rPr>
                <w:rFonts w:ascii="Arial" w:hAnsi="Arial" w:cs="Arial"/>
                <w:b/>
                <w:color w:val="000080"/>
              </w:rPr>
              <w:t>a</w:t>
            </w:r>
            <w:r w:rsidRPr="00BC44A7">
              <w:rPr>
                <w:rFonts w:ascii="Arial" w:hAnsi="Arial" w:cs="Arial"/>
                <w:b/>
                <w:color w:val="000080"/>
              </w:rPr>
              <w:t>ción de los mismos</w:t>
            </w:r>
          </w:p>
        </w:tc>
        <w:tc>
          <w:tcPr>
            <w:tcW w:w="6514" w:type="dxa"/>
            <w:shd w:val="clear" w:color="auto" w:fill="auto"/>
          </w:tcPr>
          <w:p w:rsidR="00F71A55" w:rsidRPr="00BC44A7" w:rsidRDefault="00943CBF" w:rsidP="00F71A55">
            <w:pPr>
              <w:jc w:val="both"/>
            </w:pPr>
            <w:r w:rsidRPr="00BC44A7">
              <w:t xml:space="preserve">La evaluación del desempeño de los y las estudiantes del curso se distribuirá de la siguiente manera: </w:t>
            </w:r>
          </w:p>
          <w:p w:rsidR="00F71A55" w:rsidRPr="00BC44A7" w:rsidRDefault="00F71A55" w:rsidP="00F71A5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C44A7">
              <w:t>un 6</w:t>
            </w:r>
            <w:r w:rsidR="00943CBF" w:rsidRPr="00BC44A7">
              <w:t>0% de la nota final corresponderá al promedio de n</w:t>
            </w:r>
            <w:r w:rsidR="00943CBF" w:rsidRPr="00BC44A7">
              <w:t>o</w:t>
            </w:r>
            <w:r w:rsidR="00943CBF" w:rsidRPr="00BC44A7">
              <w:t xml:space="preserve">tas que califiquen los informes de lectura; </w:t>
            </w:r>
          </w:p>
          <w:p w:rsidR="00F71A55" w:rsidRPr="00BC44A7" w:rsidRDefault="00943CBF" w:rsidP="00F71A55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C44A7">
              <w:t>el</w:t>
            </w:r>
            <w:r w:rsidR="00F71A55" w:rsidRPr="00BC44A7">
              <w:t xml:space="preserve"> 4</w:t>
            </w:r>
            <w:r w:rsidRPr="00BC44A7">
              <w:t>0% restante corresponderá a la nota con la qu</w:t>
            </w:r>
            <w:r w:rsidR="00F71A55" w:rsidRPr="00BC44A7">
              <w:t>e se cal</w:t>
            </w:r>
            <w:r w:rsidR="00F71A55" w:rsidRPr="00BC44A7">
              <w:t>i</w:t>
            </w:r>
            <w:r w:rsidR="00F71A55" w:rsidRPr="00BC44A7">
              <w:t>fique el trabajo final.</w:t>
            </w:r>
            <w:r w:rsidRPr="00BC44A7">
              <w:t xml:space="preserve"> </w:t>
            </w:r>
          </w:p>
          <w:p w:rsidR="00F71A55" w:rsidRPr="00BC44A7" w:rsidRDefault="00F71A55" w:rsidP="00F71A55">
            <w:pPr>
              <w:jc w:val="both"/>
            </w:pPr>
          </w:p>
          <w:p w:rsidR="00F71A55" w:rsidRPr="00BC44A7" w:rsidRDefault="00F71A55" w:rsidP="00F71A55">
            <w:pPr>
              <w:jc w:val="both"/>
            </w:pPr>
            <w:r w:rsidRPr="00BC44A7">
              <w:t xml:space="preserve">El trabajo final exhibirá la forma de un ensayo </w:t>
            </w:r>
            <w:r w:rsidR="00943CBF" w:rsidRPr="00BC44A7">
              <w:t>bibliográficame</w:t>
            </w:r>
            <w:r w:rsidR="00943CBF" w:rsidRPr="00BC44A7">
              <w:t>n</w:t>
            </w:r>
            <w:r w:rsidR="00943CBF" w:rsidRPr="00BC44A7">
              <w:t>te documentado</w:t>
            </w:r>
            <w:r w:rsidRPr="00BC44A7">
              <w:t>, el cual</w:t>
            </w:r>
            <w:r w:rsidR="00943CBF" w:rsidRPr="00BC44A7">
              <w:t xml:space="preserve"> estará orientado a la exploración analít</w:t>
            </w:r>
            <w:r w:rsidR="00943CBF" w:rsidRPr="00BC44A7">
              <w:t>i</w:t>
            </w:r>
            <w:r w:rsidR="00943CBF" w:rsidRPr="00BC44A7">
              <w:t>ca de algún problema</w:t>
            </w:r>
            <w:r w:rsidRPr="00BC44A7">
              <w:t xml:space="preserve"> propio del campo de la dogmática jurídica,</w:t>
            </w:r>
            <w:r w:rsidR="00943CBF" w:rsidRPr="00BC44A7">
              <w:t xml:space="preserve"> desde la perspectiva de</w:t>
            </w:r>
            <w:r w:rsidRPr="00BC44A7">
              <w:t xml:space="preserve"> uno o más de</w:t>
            </w:r>
            <w:r w:rsidR="00943CBF" w:rsidRPr="00BC44A7">
              <w:t xml:space="preserve"> los modelos</w:t>
            </w:r>
            <w:r w:rsidRPr="00BC44A7">
              <w:t xml:space="preserve"> o paradigmas</w:t>
            </w:r>
            <w:r w:rsidR="00943CBF" w:rsidRPr="00BC44A7">
              <w:t xml:space="preserve"> teóricos </w:t>
            </w:r>
            <w:r w:rsidRPr="00BC44A7">
              <w:t>examinados a lo largo del cu</w:t>
            </w:r>
            <w:r w:rsidRPr="00BC44A7">
              <w:t>r</w:t>
            </w:r>
            <w:r w:rsidRPr="00BC44A7">
              <w:t>so</w:t>
            </w:r>
            <w:r w:rsidR="00943CBF" w:rsidRPr="00BC44A7">
              <w:t>.</w:t>
            </w:r>
          </w:p>
          <w:p w:rsidR="00F71A55" w:rsidRPr="00BC44A7" w:rsidRDefault="00F71A55" w:rsidP="00F71A55">
            <w:pPr>
              <w:jc w:val="both"/>
            </w:pPr>
          </w:p>
          <w:p w:rsidR="00943CBF" w:rsidRPr="00BC44A7" w:rsidRDefault="00943CBF" w:rsidP="00F71A55">
            <w:pPr>
              <w:jc w:val="both"/>
            </w:pPr>
            <w:r w:rsidRPr="00BC44A7">
              <w:t>Los informes de lectura, que sólo constarán de texto principal (sin estar acompañados, en consecuencia, de notas al pie de p</w:t>
            </w:r>
            <w:r w:rsidRPr="00BC44A7">
              <w:t>á</w:t>
            </w:r>
            <w:r w:rsidRPr="00BC44A7">
              <w:t>gina), deberán ajustarse a las siguientes especificaciones de fo</w:t>
            </w:r>
            <w:r w:rsidRPr="00BC44A7">
              <w:t>r</w:t>
            </w:r>
            <w:r w:rsidRPr="00BC44A7">
              <w:t xml:space="preserve">mato: </w:t>
            </w:r>
            <w:r w:rsidRPr="00BC44A7">
              <w:rPr>
                <w:i/>
              </w:rPr>
              <w:t xml:space="preserve">times new </w:t>
            </w:r>
            <w:proofErr w:type="spellStart"/>
            <w:r w:rsidRPr="00BC44A7">
              <w:rPr>
                <w:i/>
              </w:rPr>
              <w:t>roman</w:t>
            </w:r>
            <w:proofErr w:type="spellEnd"/>
            <w:r w:rsidRPr="00BC44A7">
              <w:t xml:space="preserve"> 12</w:t>
            </w:r>
            <w:r w:rsidR="00F71A55" w:rsidRPr="00BC44A7">
              <w:t>,</w:t>
            </w:r>
            <w:r w:rsidRPr="00BC44A7">
              <w:t xml:space="preserve"> con espaciado de 1,15. Su extensión no podrá ser inferior a 3 ni superior a 6 páginas.</w:t>
            </w:r>
          </w:p>
          <w:p w:rsidR="00943CBF" w:rsidRPr="00BC44A7" w:rsidRDefault="00943CBF" w:rsidP="00F71A55">
            <w:pPr>
              <w:jc w:val="both"/>
            </w:pPr>
          </w:p>
          <w:p w:rsidR="00943CBF" w:rsidRPr="00BC44A7" w:rsidRDefault="00943CBF" w:rsidP="00F71A55">
            <w:pPr>
              <w:jc w:val="both"/>
            </w:pPr>
            <w:r w:rsidRPr="00BC44A7">
              <w:t xml:space="preserve">El trabajo final deberá ajustarse a las siguientes especificaciones de formato: </w:t>
            </w:r>
            <w:r w:rsidRPr="00BC44A7">
              <w:rPr>
                <w:i/>
              </w:rPr>
              <w:t xml:space="preserve">times new </w:t>
            </w:r>
            <w:proofErr w:type="spellStart"/>
            <w:r w:rsidRPr="00BC44A7">
              <w:rPr>
                <w:i/>
              </w:rPr>
              <w:t>roman</w:t>
            </w:r>
            <w:proofErr w:type="spellEnd"/>
            <w:r w:rsidRPr="00BC44A7">
              <w:t xml:space="preserve"> 12</w:t>
            </w:r>
            <w:r w:rsidR="00F71A55" w:rsidRPr="00BC44A7">
              <w:t>,</w:t>
            </w:r>
            <w:r w:rsidRPr="00BC44A7">
              <w:t xml:space="preserve"> con espaciado de 1,15 para el texto principal, y </w:t>
            </w:r>
            <w:r w:rsidRPr="00BC44A7">
              <w:rPr>
                <w:i/>
              </w:rPr>
              <w:t xml:space="preserve">times new </w:t>
            </w:r>
            <w:proofErr w:type="spellStart"/>
            <w:r w:rsidRPr="00BC44A7">
              <w:rPr>
                <w:i/>
              </w:rPr>
              <w:t>roman</w:t>
            </w:r>
            <w:proofErr w:type="spellEnd"/>
            <w:r w:rsidRPr="00BC44A7">
              <w:t xml:space="preserve"> 10 con espaciado 1,0 para las </w:t>
            </w:r>
            <w:r w:rsidRPr="00BC44A7">
              <w:lastRenderedPageBreak/>
              <w:t>notas al pie de página. Su extensión no podrá ser inferior a 10 ni superior a 20 páginas.</w:t>
            </w:r>
          </w:p>
        </w:tc>
      </w:tr>
      <w:tr w:rsidR="00BC5DFD" w:rsidRPr="00BC44A7" w:rsidTr="00BC44A7">
        <w:trPr>
          <w:trHeight w:val="269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lastRenderedPageBreak/>
              <w:t>VII. Metodología</w:t>
            </w:r>
          </w:p>
        </w:tc>
        <w:tc>
          <w:tcPr>
            <w:tcW w:w="6514" w:type="dxa"/>
            <w:shd w:val="clear" w:color="auto" w:fill="auto"/>
          </w:tcPr>
          <w:p w:rsidR="00F71A55" w:rsidRPr="00BC44A7" w:rsidRDefault="00943CBF" w:rsidP="00F71A55">
            <w:pPr>
              <w:jc w:val="both"/>
              <w:rPr>
                <w:lang w:val="es-ES_tradnl"/>
              </w:rPr>
            </w:pPr>
            <w:r w:rsidRPr="00BC44A7">
              <w:rPr>
                <w:lang w:val="es-ES_tradnl"/>
              </w:rPr>
              <w:t>El curso es semestral, constando de 9 sesiones presenciales de periodicidad quincenal, de 2 horas de duración</w:t>
            </w:r>
            <w:r w:rsidR="00F71A55" w:rsidRPr="00BC44A7">
              <w:rPr>
                <w:lang w:val="es-ES_tradnl"/>
              </w:rPr>
              <w:t xml:space="preserve"> cada una</w:t>
            </w:r>
            <w:r w:rsidRPr="00BC44A7">
              <w:rPr>
                <w:lang w:val="es-ES_tradnl"/>
              </w:rPr>
              <w:t xml:space="preserve">. </w:t>
            </w:r>
          </w:p>
          <w:p w:rsidR="00F71A55" w:rsidRPr="00BC44A7" w:rsidRDefault="00F71A55" w:rsidP="00F71A55">
            <w:pPr>
              <w:jc w:val="both"/>
              <w:rPr>
                <w:lang w:val="es-ES_tradnl"/>
              </w:rPr>
            </w:pPr>
          </w:p>
          <w:p w:rsidR="00AF6B5D" w:rsidRDefault="00943CBF" w:rsidP="00AF6B5D">
            <w:pPr>
              <w:jc w:val="both"/>
              <w:rPr>
                <w:lang w:val="es-ES_tradnl"/>
              </w:rPr>
            </w:pPr>
            <w:r w:rsidRPr="00BC44A7">
              <w:rPr>
                <w:lang w:val="es-ES_tradnl"/>
              </w:rPr>
              <w:t>Cada sesión presencial lleva</w:t>
            </w:r>
            <w:r w:rsidR="00F71A55" w:rsidRPr="00BC44A7">
              <w:rPr>
                <w:lang w:val="es-ES_tradnl"/>
              </w:rPr>
              <w:t xml:space="preserve">rá aparejada </w:t>
            </w:r>
            <w:r w:rsidRPr="00BC44A7">
              <w:rPr>
                <w:lang w:val="es-ES_tradnl"/>
              </w:rPr>
              <w:t>una carga de prepar</w:t>
            </w:r>
            <w:r w:rsidRPr="00BC44A7">
              <w:rPr>
                <w:lang w:val="es-ES_tradnl"/>
              </w:rPr>
              <w:t>a</w:t>
            </w:r>
            <w:r w:rsidRPr="00BC44A7">
              <w:rPr>
                <w:lang w:val="es-ES_tradnl"/>
              </w:rPr>
              <w:t>ción individual</w:t>
            </w:r>
            <w:r w:rsidR="00AF6B5D">
              <w:rPr>
                <w:lang w:val="es-ES_tradnl"/>
              </w:rPr>
              <w:t xml:space="preserve"> para cada estudiante</w:t>
            </w:r>
            <w:r w:rsidRPr="00BC44A7">
              <w:rPr>
                <w:lang w:val="es-ES_tradnl"/>
              </w:rPr>
              <w:t>, consistente en la</w:t>
            </w:r>
            <w:r w:rsidR="00AF6B5D">
              <w:rPr>
                <w:lang w:val="es-ES_tradnl"/>
              </w:rPr>
              <w:t xml:space="preserve"> previa</w:t>
            </w:r>
            <w:r w:rsidRPr="00BC44A7">
              <w:rPr>
                <w:lang w:val="es-ES_tradnl"/>
              </w:rPr>
              <w:t xml:space="preserve"> </w:t>
            </w:r>
            <w:r w:rsidR="00AF6B5D">
              <w:rPr>
                <w:lang w:val="es-ES_tradnl"/>
              </w:rPr>
              <w:t xml:space="preserve">revisión </w:t>
            </w:r>
            <w:r w:rsidRPr="00BC44A7">
              <w:rPr>
                <w:lang w:val="es-ES_tradnl"/>
              </w:rPr>
              <w:t>del m</w:t>
            </w:r>
            <w:r w:rsidRPr="00BC44A7">
              <w:rPr>
                <w:lang w:val="es-ES_tradnl"/>
              </w:rPr>
              <w:t>a</w:t>
            </w:r>
            <w:r w:rsidRPr="00BC44A7">
              <w:rPr>
                <w:lang w:val="es-ES_tradnl"/>
              </w:rPr>
              <w:t>terial bibliográfico pertinente y la elaboración de un breve info</w:t>
            </w:r>
            <w:r w:rsidRPr="00BC44A7">
              <w:rPr>
                <w:lang w:val="es-ES_tradnl"/>
              </w:rPr>
              <w:t>r</w:t>
            </w:r>
            <w:r w:rsidRPr="00BC44A7">
              <w:rPr>
                <w:lang w:val="es-ES_tradnl"/>
              </w:rPr>
              <w:t xml:space="preserve">me de lectura referido a ese mismo material, el cual debe ser </w:t>
            </w:r>
            <w:r w:rsidR="00AF6B5D">
              <w:rPr>
                <w:lang w:val="es-ES_tradnl"/>
              </w:rPr>
              <w:t xml:space="preserve">enviado por correo electrónico el día previo al de la </w:t>
            </w:r>
            <w:r w:rsidRPr="00BC44A7">
              <w:rPr>
                <w:lang w:val="es-ES_tradnl"/>
              </w:rPr>
              <w:t>sesión</w:t>
            </w:r>
            <w:r w:rsidR="00AF6B5D">
              <w:rPr>
                <w:lang w:val="es-ES_tradnl"/>
              </w:rPr>
              <w:t xml:space="preserve"> respectiva</w:t>
            </w:r>
            <w:r w:rsidRPr="00BC44A7">
              <w:rPr>
                <w:lang w:val="es-ES_tradnl"/>
              </w:rPr>
              <w:t xml:space="preserve">. </w:t>
            </w:r>
          </w:p>
          <w:p w:rsidR="00AF6B5D" w:rsidRDefault="00AF6B5D" w:rsidP="00AF6B5D">
            <w:pPr>
              <w:jc w:val="both"/>
              <w:rPr>
                <w:lang w:val="es-ES_tradnl"/>
              </w:rPr>
            </w:pPr>
          </w:p>
          <w:p w:rsidR="00BC5DFD" w:rsidRPr="00BC44A7" w:rsidRDefault="00943CBF" w:rsidP="00AF6B5D">
            <w:pPr>
              <w:jc w:val="both"/>
            </w:pPr>
            <w:r w:rsidRPr="00BC44A7">
              <w:rPr>
                <w:lang w:val="es-ES_tradnl"/>
              </w:rPr>
              <w:t>Como guía para la elaboración de cada info</w:t>
            </w:r>
            <w:r w:rsidRPr="00BC44A7">
              <w:rPr>
                <w:lang w:val="es-ES_tradnl"/>
              </w:rPr>
              <w:t>r</w:t>
            </w:r>
            <w:r w:rsidRPr="00BC44A7">
              <w:rPr>
                <w:lang w:val="es-ES_tradnl"/>
              </w:rPr>
              <w:t xml:space="preserve">me de lectura, el </w:t>
            </w:r>
            <w:r w:rsidR="00F71A55" w:rsidRPr="00BC44A7">
              <w:rPr>
                <w:lang w:val="es-ES_tradnl"/>
              </w:rPr>
              <w:t>o la estudiante recibirá, con 10</w:t>
            </w:r>
            <w:r w:rsidRPr="00BC44A7">
              <w:rPr>
                <w:lang w:val="es-ES_tradnl"/>
              </w:rPr>
              <w:t xml:space="preserve"> días de anticip</w:t>
            </w:r>
            <w:r w:rsidRPr="00BC44A7">
              <w:rPr>
                <w:lang w:val="es-ES_tradnl"/>
              </w:rPr>
              <w:t>a</w:t>
            </w:r>
            <w:r w:rsidRPr="00BC44A7">
              <w:rPr>
                <w:lang w:val="es-ES_tradnl"/>
              </w:rPr>
              <w:t>ción, un cuestionario referido a los contenidos de las lecturas correspondie</w:t>
            </w:r>
            <w:r w:rsidRPr="00BC44A7">
              <w:rPr>
                <w:lang w:val="es-ES_tradnl"/>
              </w:rPr>
              <w:t>n</w:t>
            </w:r>
            <w:r w:rsidRPr="00BC44A7">
              <w:rPr>
                <w:lang w:val="es-ES_tradnl"/>
              </w:rPr>
              <w:t>tes.</w:t>
            </w:r>
          </w:p>
        </w:tc>
      </w:tr>
      <w:tr w:rsidR="00BC5DFD" w:rsidTr="00BC44A7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BC5DFD" w:rsidRPr="00BC44A7" w:rsidRDefault="00CA7F98" w:rsidP="00BC5DFD">
            <w:pPr>
              <w:rPr>
                <w:rFonts w:ascii="Arial" w:hAnsi="Arial" w:cs="Arial"/>
                <w:b/>
                <w:color w:val="000080"/>
              </w:rPr>
            </w:pPr>
            <w:r w:rsidRPr="00BC44A7">
              <w:rPr>
                <w:rFonts w:ascii="Arial" w:hAnsi="Arial" w:cs="Arial"/>
                <w:b/>
                <w:color w:val="000080"/>
              </w:rPr>
              <w:t>VIII. Bibliografía</w:t>
            </w:r>
          </w:p>
        </w:tc>
        <w:tc>
          <w:tcPr>
            <w:tcW w:w="6514" w:type="dxa"/>
            <w:shd w:val="clear" w:color="auto" w:fill="auto"/>
          </w:tcPr>
          <w:p w:rsidR="007641C9" w:rsidRPr="00BC44A7" w:rsidRDefault="007641C9" w:rsidP="00BC44A7">
            <w:pPr>
              <w:shd w:val="clear" w:color="auto" w:fill="FFFFFF"/>
              <w:ind w:left="453" w:hanging="453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Atria</w:t>
            </w:r>
            <w:proofErr w:type="spellEnd"/>
            <w:r w:rsidRPr="00BC44A7">
              <w:rPr>
                <w:color w:val="000000"/>
              </w:rPr>
              <w:t>,</w:t>
            </w:r>
            <w:r w:rsidRPr="00BC44A7">
              <w:rPr>
                <w:color w:val="000000"/>
              </w:rPr>
              <w:t xml:space="preserve"> Fernando: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>La forma del derecho</w:t>
            </w:r>
            <w:r w:rsidR="00434A4B" w:rsidRPr="00BC44A7">
              <w:rPr>
                <w:color w:val="000000"/>
              </w:rPr>
              <w:t>, 2016.</w:t>
            </w:r>
          </w:p>
          <w:p w:rsidR="00F71A55" w:rsidRPr="00BC44A7" w:rsidRDefault="00F71A55" w:rsidP="00BC44A7">
            <w:pPr>
              <w:shd w:val="clear" w:color="auto" w:fill="FFFFFF"/>
              <w:ind w:left="453" w:hanging="453"/>
              <w:jc w:val="both"/>
              <w:rPr>
                <w:iCs/>
                <w:color w:val="000000"/>
              </w:rPr>
            </w:pPr>
            <w:proofErr w:type="spellStart"/>
            <w:r w:rsidRPr="00BC44A7">
              <w:rPr>
                <w:color w:val="000000"/>
              </w:rPr>
              <w:t>Bobbio</w:t>
            </w:r>
            <w:proofErr w:type="spellEnd"/>
            <w:r w:rsidRPr="00BC44A7">
              <w:rPr>
                <w:color w:val="000000"/>
              </w:rPr>
              <w:t>,</w:t>
            </w:r>
            <w:r w:rsidR="00434A4B" w:rsidRPr="00BC44A7">
              <w:rPr>
                <w:color w:val="000000"/>
              </w:rPr>
              <w:t xml:space="preserve"> Norberto: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>Contribución a la Teoría del Derech</w:t>
            </w:r>
            <w:r w:rsidR="007641C9" w:rsidRPr="00BC44A7">
              <w:rPr>
                <w:i/>
                <w:iCs/>
                <w:color w:val="000000"/>
              </w:rPr>
              <w:t>o</w:t>
            </w:r>
            <w:r w:rsidR="009A15B3" w:rsidRPr="00BC44A7">
              <w:rPr>
                <w:iCs/>
                <w:color w:val="000000"/>
              </w:rPr>
              <w:t>, 1990.</w:t>
            </w:r>
          </w:p>
          <w:p w:rsidR="00434A4B" w:rsidRPr="00BC44A7" w:rsidRDefault="00434A4B" w:rsidP="00BC44A7">
            <w:pPr>
              <w:ind w:left="453" w:hanging="453"/>
              <w:jc w:val="both"/>
            </w:pPr>
            <w:proofErr w:type="spellStart"/>
            <w:r w:rsidRPr="00BC44A7">
              <w:t>Brandom</w:t>
            </w:r>
            <w:proofErr w:type="spellEnd"/>
            <w:r w:rsidRPr="00BC44A7">
              <w:t xml:space="preserve">, “A </w:t>
            </w:r>
            <w:proofErr w:type="spellStart"/>
            <w:r w:rsidRPr="00BC44A7">
              <w:t>Hegelian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Model</w:t>
            </w:r>
            <w:proofErr w:type="spellEnd"/>
            <w:r w:rsidRPr="00BC44A7">
              <w:t xml:space="preserve"> of Legal Concept </w:t>
            </w:r>
            <w:proofErr w:type="spellStart"/>
            <w:r w:rsidRPr="00BC44A7">
              <w:t>Determination</w:t>
            </w:r>
            <w:proofErr w:type="spellEnd"/>
            <w:r w:rsidRPr="00BC44A7">
              <w:t>”</w:t>
            </w:r>
            <w:r w:rsidR="009A15B3" w:rsidRPr="00BC44A7">
              <w:t xml:space="preserve">, en </w:t>
            </w:r>
            <w:proofErr w:type="spellStart"/>
            <w:r w:rsidR="009A15B3" w:rsidRPr="00BC44A7">
              <w:t>Hubbs</w:t>
            </w:r>
            <w:proofErr w:type="spellEnd"/>
            <w:r w:rsidR="009A15B3" w:rsidRPr="00BC44A7">
              <w:t xml:space="preserve"> y </w:t>
            </w:r>
            <w:proofErr w:type="spellStart"/>
            <w:r w:rsidR="009A15B3" w:rsidRPr="00BC44A7">
              <w:t>Lind</w:t>
            </w:r>
            <w:proofErr w:type="spellEnd"/>
            <w:r w:rsidR="009A15B3" w:rsidRPr="00BC44A7">
              <w:t xml:space="preserve"> (eds.), </w:t>
            </w:r>
            <w:proofErr w:type="spellStart"/>
            <w:r w:rsidR="009A15B3" w:rsidRPr="00BC44A7">
              <w:rPr>
                <w:i/>
              </w:rPr>
              <w:t>Pragmatism</w:t>
            </w:r>
            <w:proofErr w:type="spellEnd"/>
            <w:r w:rsidR="009A15B3" w:rsidRPr="00BC44A7">
              <w:rPr>
                <w:i/>
              </w:rPr>
              <w:t xml:space="preserve">, </w:t>
            </w:r>
            <w:proofErr w:type="spellStart"/>
            <w:r w:rsidR="009A15B3" w:rsidRPr="00BC44A7">
              <w:rPr>
                <w:i/>
              </w:rPr>
              <w:t>Law</w:t>
            </w:r>
            <w:proofErr w:type="spellEnd"/>
            <w:r w:rsidR="009A15B3" w:rsidRPr="00BC44A7">
              <w:rPr>
                <w:i/>
              </w:rPr>
              <w:t xml:space="preserve">, and </w:t>
            </w:r>
            <w:proofErr w:type="spellStart"/>
            <w:r w:rsidR="009A15B3" w:rsidRPr="00BC44A7">
              <w:rPr>
                <w:i/>
              </w:rPr>
              <w:t>Language</w:t>
            </w:r>
            <w:proofErr w:type="spellEnd"/>
            <w:r w:rsidR="009A15B3" w:rsidRPr="00BC44A7">
              <w:t>, 2014.</w:t>
            </w:r>
          </w:p>
          <w:p w:rsidR="00BC44A7" w:rsidRPr="00BC44A7" w:rsidRDefault="00BC44A7" w:rsidP="00BC44A7">
            <w:pPr>
              <w:ind w:left="453" w:hanging="453"/>
              <w:jc w:val="both"/>
            </w:pPr>
            <w:proofErr w:type="spellStart"/>
            <w:r w:rsidRPr="00BC44A7">
              <w:t>Chiassoni</w:t>
            </w:r>
            <w:proofErr w:type="spellEnd"/>
            <w:r w:rsidRPr="00BC44A7">
              <w:t>,</w:t>
            </w:r>
            <w:r w:rsidR="00822FC9">
              <w:t xml:space="preserve"> </w:t>
            </w:r>
            <w:proofErr w:type="spellStart"/>
            <w:r w:rsidR="00822FC9">
              <w:t>Pierluigi</w:t>
            </w:r>
            <w:bookmarkStart w:id="0" w:name="_GoBack"/>
            <w:bookmarkEnd w:id="0"/>
            <w:proofErr w:type="spellEnd"/>
            <w:r w:rsidRPr="00BC44A7">
              <w:t>:</w:t>
            </w:r>
            <w:r w:rsidRPr="00BC44A7">
              <w:t xml:space="preserve"> </w:t>
            </w:r>
            <w:r w:rsidRPr="00BC44A7">
              <w:rPr>
                <w:i/>
              </w:rPr>
              <w:t>Técnicas de interpretación jurídica</w:t>
            </w:r>
            <w:r w:rsidRPr="00BC44A7">
              <w:t>, 2011.</w:t>
            </w:r>
          </w:p>
          <w:p w:rsidR="00434A4B" w:rsidRPr="00BC44A7" w:rsidRDefault="00434A4B" w:rsidP="00BC44A7">
            <w:pPr>
              <w:tabs>
                <w:tab w:val="left" w:pos="3606"/>
              </w:tabs>
              <w:ind w:left="453" w:hanging="453"/>
              <w:jc w:val="both"/>
            </w:pPr>
            <w:proofErr w:type="spellStart"/>
            <w:r w:rsidRPr="00BC44A7">
              <w:t>Dworkin</w:t>
            </w:r>
            <w:proofErr w:type="spellEnd"/>
            <w:r w:rsidRPr="00BC44A7">
              <w:t>,</w:t>
            </w:r>
            <w:r w:rsidR="009A15B3" w:rsidRPr="00BC44A7">
              <w:t xml:space="preserve"> Ronald: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Law’s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Empire</w:t>
            </w:r>
            <w:proofErr w:type="spellEnd"/>
            <w:r w:rsidR="009A15B3" w:rsidRPr="00BC44A7">
              <w:t>, 1986.</w:t>
            </w:r>
          </w:p>
          <w:p w:rsidR="00F71A55" w:rsidRPr="00BC44A7" w:rsidRDefault="00F71A55" w:rsidP="00BC44A7">
            <w:pPr>
              <w:ind w:left="453" w:hanging="453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Guastini</w:t>
            </w:r>
            <w:proofErr w:type="spellEnd"/>
            <w:r w:rsidRPr="00BC44A7">
              <w:rPr>
                <w:color w:val="000000"/>
              </w:rPr>
              <w:t>,</w:t>
            </w:r>
            <w:r w:rsidR="009A15B3" w:rsidRPr="00BC44A7">
              <w:rPr>
                <w:color w:val="000000"/>
              </w:rPr>
              <w:t xml:space="preserve"> </w:t>
            </w:r>
            <w:proofErr w:type="spellStart"/>
            <w:r w:rsidR="009A15B3" w:rsidRPr="00BC44A7">
              <w:rPr>
                <w:color w:val="000000"/>
              </w:rPr>
              <w:t>Riccardo</w:t>
            </w:r>
            <w:proofErr w:type="spellEnd"/>
            <w:r w:rsidR="009A15B3" w:rsidRPr="00BC44A7">
              <w:rPr>
                <w:color w:val="000000"/>
              </w:rPr>
              <w:t>: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Pr="00BC44A7">
              <w:rPr>
                <w:i/>
                <w:iCs/>
                <w:color w:val="000000"/>
              </w:rPr>
              <w:t>Distinguiendo</w:t>
            </w:r>
            <w:r w:rsidR="009A15B3" w:rsidRPr="00BC44A7">
              <w:rPr>
                <w:color w:val="000000"/>
              </w:rPr>
              <w:t>, 1999.</w:t>
            </w:r>
          </w:p>
          <w:p w:rsidR="0049424D" w:rsidRPr="00BC44A7" w:rsidRDefault="0049424D" w:rsidP="00BC44A7">
            <w:pPr>
              <w:ind w:left="453" w:hanging="453"/>
              <w:jc w:val="both"/>
            </w:pPr>
            <w:proofErr w:type="spellStart"/>
            <w:r w:rsidRPr="00BC44A7">
              <w:t>Guastini</w:t>
            </w:r>
            <w:proofErr w:type="spellEnd"/>
            <w:r w:rsidRPr="00BC44A7">
              <w:t>,</w:t>
            </w:r>
            <w:r w:rsidR="009A15B3" w:rsidRPr="00BC44A7">
              <w:t xml:space="preserve"> </w:t>
            </w:r>
            <w:proofErr w:type="spellStart"/>
            <w:r w:rsidR="009A15B3" w:rsidRPr="00BC44A7">
              <w:t>Riccardo</w:t>
            </w:r>
            <w:proofErr w:type="spellEnd"/>
            <w:r w:rsidR="009A15B3" w:rsidRPr="00BC44A7">
              <w:t>:</w:t>
            </w:r>
            <w:r w:rsidRPr="00BC44A7">
              <w:t xml:space="preserve"> “El realismo jurídico redefinido”</w:t>
            </w:r>
            <w:r w:rsidR="009A15B3" w:rsidRPr="00BC44A7">
              <w:t>, en Núñez V</w:t>
            </w:r>
            <w:r w:rsidR="009A15B3" w:rsidRPr="00BC44A7">
              <w:t>a</w:t>
            </w:r>
            <w:r w:rsidR="009A15B3" w:rsidRPr="00BC44A7">
              <w:t xml:space="preserve">quero (coord..), </w:t>
            </w:r>
            <w:r w:rsidR="009A15B3" w:rsidRPr="00BC44A7">
              <w:rPr>
                <w:i/>
              </w:rPr>
              <w:t>Modelando la ciencia jurídica</w:t>
            </w:r>
            <w:r w:rsidR="009A15B3" w:rsidRPr="00BC44A7">
              <w:t>, 2014.</w:t>
            </w:r>
          </w:p>
          <w:p w:rsidR="00644F54" w:rsidRPr="00BC44A7" w:rsidRDefault="00644F54" w:rsidP="00BC44A7">
            <w:pPr>
              <w:ind w:left="453" w:hanging="453"/>
              <w:jc w:val="both"/>
            </w:pPr>
            <w:proofErr w:type="spellStart"/>
            <w:r w:rsidRPr="00BC44A7">
              <w:t>Guastini</w:t>
            </w:r>
            <w:proofErr w:type="spellEnd"/>
            <w:r w:rsidRPr="00BC44A7">
              <w:t>,</w:t>
            </w:r>
            <w:r w:rsidR="009A15B3" w:rsidRPr="00BC44A7">
              <w:t xml:space="preserve"> </w:t>
            </w:r>
            <w:proofErr w:type="spellStart"/>
            <w:r w:rsidR="009A15B3" w:rsidRPr="00BC44A7">
              <w:t>Riccardo</w:t>
            </w:r>
            <w:proofErr w:type="spellEnd"/>
            <w:r w:rsidR="009A15B3" w:rsidRPr="00BC44A7">
              <w:t>:</w:t>
            </w:r>
            <w:r w:rsidRPr="00BC44A7">
              <w:t xml:space="preserve"> “Fundamentos de una teoría escéptica de la interpretación”</w:t>
            </w:r>
            <w:r w:rsidR="009A15B3" w:rsidRPr="00BC44A7">
              <w:t xml:space="preserve">, en, el mismo, </w:t>
            </w:r>
            <w:r w:rsidR="009A15B3" w:rsidRPr="00BC44A7">
              <w:rPr>
                <w:i/>
              </w:rPr>
              <w:t>Nuevos estudios sobre la i</w:t>
            </w:r>
            <w:r w:rsidR="009A15B3" w:rsidRPr="00BC44A7">
              <w:rPr>
                <w:i/>
              </w:rPr>
              <w:t>n</w:t>
            </w:r>
            <w:r w:rsidR="009A15B3" w:rsidRPr="00BC44A7">
              <w:rPr>
                <w:i/>
              </w:rPr>
              <w:t>terpr</w:t>
            </w:r>
            <w:r w:rsidR="009A15B3" w:rsidRPr="00BC44A7">
              <w:rPr>
                <w:i/>
              </w:rPr>
              <w:t>e</w:t>
            </w:r>
            <w:r w:rsidR="009A15B3" w:rsidRPr="00BC44A7">
              <w:rPr>
                <w:i/>
              </w:rPr>
              <w:t>tación</w:t>
            </w:r>
            <w:r w:rsidR="009A15B3" w:rsidRPr="00BC44A7">
              <w:t>, 2010.</w:t>
            </w:r>
          </w:p>
          <w:p w:rsidR="0049424D" w:rsidRPr="00BC44A7" w:rsidRDefault="00644F54" w:rsidP="00BC44A7">
            <w:pPr>
              <w:ind w:left="453" w:hanging="453"/>
              <w:jc w:val="both"/>
            </w:pPr>
            <w:proofErr w:type="spellStart"/>
            <w:r w:rsidRPr="00BC44A7">
              <w:t>Guastini</w:t>
            </w:r>
            <w:proofErr w:type="spellEnd"/>
            <w:r w:rsidRPr="00BC44A7">
              <w:t>,</w:t>
            </w:r>
            <w:r w:rsidR="009A15B3" w:rsidRPr="00BC44A7">
              <w:t xml:space="preserve"> </w:t>
            </w:r>
            <w:proofErr w:type="spellStart"/>
            <w:r w:rsidR="009A15B3" w:rsidRPr="00BC44A7">
              <w:t>Riccardo</w:t>
            </w:r>
            <w:proofErr w:type="spellEnd"/>
            <w:r w:rsidR="009A15B3" w:rsidRPr="00BC44A7">
              <w:t>:</w:t>
            </w:r>
            <w:r w:rsidRPr="00BC44A7">
              <w:t xml:space="preserve"> </w:t>
            </w:r>
            <w:r w:rsidRPr="00BC44A7">
              <w:rPr>
                <w:i/>
              </w:rPr>
              <w:t>Interpretar y argumentar</w:t>
            </w:r>
            <w:r w:rsidR="009A15B3" w:rsidRPr="00BC44A7">
              <w:t>, 2ª ed., 2014.</w:t>
            </w:r>
          </w:p>
          <w:p w:rsidR="007641C9" w:rsidRPr="00BC44A7" w:rsidRDefault="007641C9" w:rsidP="00BC44A7">
            <w:pPr>
              <w:shd w:val="clear" w:color="auto" w:fill="FFFFFF"/>
              <w:ind w:left="453" w:hanging="453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Hart</w:t>
            </w:r>
            <w:proofErr w:type="spellEnd"/>
            <w:r w:rsidRPr="00BC44A7">
              <w:rPr>
                <w:color w:val="000000"/>
              </w:rPr>
              <w:t>, H.L.A.: “</w:t>
            </w:r>
            <w:proofErr w:type="spellStart"/>
            <w:r w:rsidRPr="00BC44A7">
              <w:rPr>
                <w:color w:val="000000"/>
              </w:rPr>
              <w:t>Problems</w:t>
            </w:r>
            <w:proofErr w:type="spellEnd"/>
            <w:r w:rsidRPr="00BC44A7">
              <w:rPr>
                <w:color w:val="000000"/>
              </w:rPr>
              <w:t xml:space="preserve"> of </w:t>
            </w:r>
            <w:proofErr w:type="spellStart"/>
            <w:r w:rsidRPr="00BC44A7">
              <w:rPr>
                <w:color w:val="000000"/>
              </w:rPr>
              <w:t>the</w:t>
            </w:r>
            <w:proofErr w:type="spellEnd"/>
            <w:r w:rsidRPr="00BC44A7">
              <w:rPr>
                <w:color w:val="000000"/>
              </w:rPr>
              <w:t xml:space="preserve"> </w:t>
            </w:r>
            <w:proofErr w:type="spellStart"/>
            <w:r w:rsidRPr="00BC44A7">
              <w:rPr>
                <w:color w:val="000000"/>
              </w:rPr>
              <w:t>Philosophy</w:t>
            </w:r>
            <w:proofErr w:type="spellEnd"/>
            <w:r w:rsidRPr="00BC44A7">
              <w:rPr>
                <w:color w:val="000000"/>
              </w:rPr>
              <w:t xml:space="preserve"> of </w:t>
            </w:r>
            <w:proofErr w:type="spellStart"/>
            <w:r w:rsidRPr="00BC44A7">
              <w:rPr>
                <w:color w:val="000000"/>
              </w:rPr>
              <w:t>Law</w:t>
            </w:r>
            <w:proofErr w:type="spellEnd"/>
            <w:r w:rsidRPr="00BC44A7">
              <w:rPr>
                <w:color w:val="000000"/>
              </w:rPr>
              <w:t>”</w:t>
            </w:r>
            <w:r w:rsidR="008026E6" w:rsidRPr="00BC44A7">
              <w:rPr>
                <w:color w:val="000000"/>
              </w:rPr>
              <w:t xml:space="preserve">, en </w:t>
            </w:r>
            <w:proofErr w:type="spellStart"/>
            <w:r w:rsidR="008026E6" w:rsidRPr="00BC44A7">
              <w:rPr>
                <w:color w:val="000000"/>
              </w:rPr>
              <w:t>Hart</w:t>
            </w:r>
            <w:proofErr w:type="spellEnd"/>
            <w:r w:rsidRPr="00BC44A7">
              <w:rPr>
                <w:color w:val="000000"/>
              </w:rPr>
              <w:t xml:space="preserve">, </w:t>
            </w:r>
            <w:proofErr w:type="spellStart"/>
            <w:r w:rsidR="009A15B3" w:rsidRPr="00BC44A7">
              <w:rPr>
                <w:i/>
                <w:color w:val="000000"/>
              </w:rPr>
              <w:t>E</w:t>
            </w:r>
            <w:r w:rsidR="009A15B3" w:rsidRPr="00BC44A7">
              <w:rPr>
                <w:i/>
                <w:color w:val="000000"/>
              </w:rPr>
              <w:t>s</w:t>
            </w:r>
            <w:r w:rsidR="009A15B3" w:rsidRPr="00BC44A7">
              <w:rPr>
                <w:i/>
                <w:color w:val="000000"/>
              </w:rPr>
              <w:t>says</w:t>
            </w:r>
            <w:proofErr w:type="spellEnd"/>
            <w:r w:rsidR="009A15B3" w:rsidRPr="00BC44A7">
              <w:rPr>
                <w:i/>
                <w:color w:val="000000"/>
              </w:rPr>
              <w:t xml:space="preserve"> in </w:t>
            </w:r>
            <w:proofErr w:type="spellStart"/>
            <w:r w:rsidR="009A15B3" w:rsidRPr="00BC44A7">
              <w:rPr>
                <w:i/>
                <w:color w:val="000000"/>
              </w:rPr>
              <w:t>Jurisprudence</w:t>
            </w:r>
            <w:proofErr w:type="spellEnd"/>
            <w:r w:rsidR="009A15B3" w:rsidRPr="00BC44A7">
              <w:rPr>
                <w:i/>
                <w:color w:val="000000"/>
              </w:rPr>
              <w:t xml:space="preserve"> and </w:t>
            </w:r>
            <w:proofErr w:type="spellStart"/>
            <w:r w:rsidR="009A15B3" w:rsidRPr="00BC44A7">
              <w:rPr>
                <w:i/>
                <w:color w:val="000000"/>
              </w:rPr>
              <w:t>Philosophy</w:t>
            </w:r>
            <w:proofErr w:type="spellEnd"/>
            <w:r w:rsidR="009A15B3" w:rsidRPr="00BC44A7">
              <w:rPr>
                <w:color w:val="000000"/>
              </w:rPr>
              <w:t>, 1983.</w:t>
            </w:r>
          </w:p>
          <w:p w:rsidR="00F71A55" w:rsidRPr="00BC44A7" w:rsidRDefault="00F71A55" w:rsidP="00BC44A7">
            <w:pPr>
              <w:shd w:val="clear" w:color="auto" w:fill="FFFFFF"/>
              <w:ind w:left="453" w:hanging="453"/>
              <w:jc w:val="both"/>
              <w:rPr>
                <w:iCs/>
                <w:color w:val="000000"/>
              </w:rPr>
            </w:pPr>
            <w:proofErr w:type="spellStart"/>
            <w:r w:rsidRPr="00BC44A7">
              <w:rPr>
                <w:color w:val="000000"/>
              </w:rPr>
              <w:t>Hart</w:t>
            </w:r>
            <w:proofErr w:type="spellEnd"/>
            <w:r w:rsidRPr="00BC44A7">
              <w:rPr>
                <w:color w:val="000000"/>
              </w:rPr>
              <w:t>,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="007641C9" w:rsidRPr="00BC44A7">
              <w:rPr>
                <w:color w:val="000000"/>
              </w:rPr>
              <w:t>H.L.A.:</w:t>
            </w:r>
            <w:r w:rsidRPr="00BC44A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44A7">
              <w:rPr>
                <w:i/>
                <w:iCs/>
                <w:color w:val="000000"/>
              </w:rPr>
              <w:t>The</w:t>
            </w:r>
            <w:proofErr w:type="spellEnd"/>
            <w:r w:rsidRPr="00BC44A7">
              <w:rPr>
                <w:i/>
                <w:iCs/>
                <w:color w:val="000000"/>
              </w:rPr>
              <w:t xml:space="preserve"> Concept of </w:t>
            </w:r>
            <w:proofErr w:type="spellStart"/>
            <w:r w:rsidRPr="00BC44A7">
              <w:rPr>
                <w:i/>
                <w:iCs/>
                <w:color w:val="000000"/>
              </w:rPr>
              <w:t>Law</w:t>
            </w:r>
            <w:proofErr w:type="spellEnd"/>
            <w:r w:rsidR="007641C9" w:rsidRPr="00BC44A7">
              <w:rPr>
                <w:iCs/>
                <w:color w:val="000000"/>
              </w:rPr>
              <w:t xml:space="preserve">, 2ª ed., </w:t>
            </w:r>
            <w:r w:rsidR="009A15B3" w:rsidRPr="00BC44A7">
              <w:rPr>
                <w:iCs/>
                <w:color w:val="000000"/>
              </w:rPr>
              <w:t>1994.</w:t>
            </w:r>
          </w:p>
          <w:p w:rsidR="00434A4B" w:rsidRDefault="00434A4B" w:rsidP="00BC44A7">
            <w:pPr>
              <w:ind w:left="453" w:hanging="453"/>
            </w:pPr>
            <w:proofErr w:type="spellStart"/>
            <w:r w:rsidRPr="00BC44A7">
              <w:t>Klatt</w:t>
            </w:r>
            <w:proofErr w:type="spellEnd"/>
            <w:r w:rsidRPr="00BC44A7">
              <w:t>,</w:t>
            </w:r>
            <w:r w:rsidR="009A15B3" w:rsidRPr="00BC44A7">
              <w:t xml:space="preserve"> </w:t>
            </w:r>
            <w:proofErr w:type="spellStart"/>
            <w:r w:rsidR="009A15B3" w:rsidRPr="00BC44A7">
              <w:t>Matthias</w:t>
            </w:r>
            <w:proofErr w:type="spellEnd"/>
            <w:r w:rsidR="009A15B3" w:rsidRPr="00BC44A7">
              <w:t>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Making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the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Law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Explicit</w:t>
            </w:r>
            <w:proofErr w:type="spellEnd"/>
            <w:r w:rsidR="009A15B3" w:rsidRPr="00BC44A7">
              <w:t>, 2008.</w:t>
            </w:r>
          </w:p>
          <w:p w:rsidR="00BC44A7" w:rsidRPr="00BC44A7" w:rsidRDefault="00BC44A7" w:rsidP="00BC44A7">
            <w:pPr>
              <w:ind w:left="453" w:hanging="453"/>
            </w:pPr>
            <w:proofErr w:type="spellStart"/>
            <w:r>
              <w:t>Komesar</w:t>
            </w:r>
            <w:proofErr w:type="spellEnd"/>
            <w:r>
              <w:t xml:space="preserve">, Neil: </w:t>
            </w:r>
            <w:proofErr w:type="spellStart"/>
            <w:r>
              <w:t>Imperfect</w:t>
            </w:r>
            <w:proofErr w:type="spellEnd"/>
            <w:r>
              <w:t xml:space="preserve"> </w:t>
            </w:r>
            <w:proofErr w:type="spellStart"/>
            <w:r>
              <w:t>Alternatives</w:t>
            </w:r>
            <w:proofErr w:type="spellEnd"/>
            <w:r>
              <w:t>, 1997.</w:t>
            </w:r>
          </w:p>
          <w:p w:rsidR="00434A4B" w:rsidRPr="00BC44A7" w:rsidRDefault="00434A4B" w:rsidP="00BC44A7">
            <w:pPr>
              <w:shd w:val="clear" w:color="auto" w:fill="FFFFFF"/>
              <w:ind w:left="453" w:hanging="453"/>
              <w:jc w:val="both"/>
              <w:rPr>
                <w:color w:val="000000"/>
              </w:rPr>
            </w:pPr>
            <w:proofErr w:type="spellStart"/>
            <w:r w:rsidRPr="00BC44A7">
              <w:rPr>
                <w:color w:val="000000"/>
              </w:rPr>
              <w:t>MacCormick</w:t>
            </w:r>
            <w:proofErr w:type="spellEnd"/>
            <w:r w:rsidRPr="00BC44A7">
              <w:rPr>
                <w:color w:val="000000"/>
              </w:rPr>
              <w:t>,</w:t>
            </w:r>
            <w:r w:rsidR="009A15B3" w:rsidRPr="00BC44A7">
              <w:rPr>
                <w:color w:val="000000"/>
              </w:rPr>
              <w:t xml:space="preserve"> Neil:</w:t>
            </w:r>
            <w:r w:rsidRPr="00BC44A7">
              <w:rPr>
                <w:rStyle w:val="apple-converted-space"/>
                <w:color w:val="000000"/>
              </w:rPr>
              <w:t> </w:t>
            </w:r>
            <w:proofErr w:type="spellStart"/>
            <w:r w:rsidRPr="00BC44A7">
              <w:rPr>
                <w:i/>
                <w:iCs/>
                <w:color w:val="000000"/>
              </w:rPr>
              <w:t>Institutions</w:t>
            </w:r>
            <w:proofErr w:type="spellEnd"/>
            <w:r w:rsidRPr="00BC44A7">
              <w:rPr>
                <w:i/>
                <w:iCs/>
                <w:color w:val="000000"/>
              </w:rPr>
              <w:t xml:space="preserve"> of </w:t>
            </w:r>
            <w:proofErr w:type="spellStart"/>
            <w:r w:rsidRPr="00BC44A7">
              <w:rPr>
                <w:i/>
                <w:iCs/>
                <w:color w:val="000000"/>
              </w:rPr>
              <w:t>Law</w:t>
            </w:r>
            <w:proofErr w:type="spellEnd"/>
            <w:r w:rsidR="009A15B3" w:rsidRPr="00BC44A7">
              <w:rPr>
                <w:color w:val="000000"/>
              </w:rPr>
              <w:t>, 2007.</w:t>
            </w:r>
          </w:p>
          <w:p w:rsidR="00434A4B" w:rsidRPr="00BC44A7" w:rsidRDefault="00434A4B" w:rsidP="00BC44A7">
            <w:pPr>
              <w:ind w:left="453" w:hanging="453"/>
              <w:jc w:val="both"/>
            </w:pPr>
            <w:proofErr w:type="spellStart"/>
            <w:r w:rsidRPr="00BC44A7">
              <w:t>MacCormick</w:t>
            </w:r>
            <w:proofErr w:type="spellEnd"/>
            <w:r w:rsidRPr="00BC44A7">
              <w:t>, “</w:t>
            </w:r>
            <w:proofErr w:type="spellStart"/>
            <w:r w:rsidRPr="00BC44A7">
              <w:t>Law</w:t>
            </w:r>
            <w:proofErr w:type="spellEnd"/>
            <w:r w:rsidRPr="00BC44A7">
              <w:t xml:space="preserve"> as </w:t>
            </w:r>
            <w:proofErr w:type="spellStart"/>
            <w:r w:rsidRPr="00BC44A7">
              <w:t>Institutional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Fact</w:t>
            </w:r>
            <w:proofErr w:type="spellEnd"/>
            <w:r w:rsidRPr="00BC44A7">
              <w:t>”</w:t>
            </w:r>
            <w:r w:rsidR="009A15B3" w:rsidRPr="00BC44A7">
              <w:t xml:space="preserve">, en </w:t>
            </w:r>
            <w:proofErr w:type="spellStart"/>
            <w:r w:rsidR="008026E6" w:rsidRPr="00BC44A7">
              <w:t>MacCormick</w:t>
            </w:r>
            <w:proofErr w:type="spellEnd"/>
            <w:r w:rsidR="008026E6" w:rsidRPr="00BC44A7">
              <w:t xml:space="preserve"> y </w:t>
            </w:r>
            <w:proofErr w:type="spellStart"/>
            <w:r w:rsidR="008026E6" w:rsidRPr="00BC44A7">
              <w:t>Weinberger</w:t>
            </w:r>
            <w:proofErr w:type="spellEnd"/>
            <w:r w:rsidR="008026E6" w:rsidRPr="00BC44A7">
              <w:t xml:space="preserve">, </w:t>
            </w:r>
            <w:proofErr w:type="spellStart"/>
            <w:r w:rsidR="008026E6" w:rsidRPr="00BC44A7">
              <w:rPr>
                <w:i/>
              </w:rPr>
              <w:t>An</w:t>
            </w:r>
            <w:proofErr w:type="spellEnd"/>
            <w:r w:rsidR="008026E6" w:rsidRPr="00BC44A7">
              <w:rPr>
                <w:i/>
              </w:rPr>
              <w:t xml:space="preserve"> </w:t>
            </w:r>
            <w:proofErr w:type="spellStart"/>
            <w:r w:rsidR="008026E6" w:rsidRPr="00BC44A7">
              <w:rPr>
                <w:i/>
              </w:rPr>
              <w:t>Institutional</w:t>
            </w:r>
            <w:proofErr w:type="spellEnd"/>
            <w:r w:rsidR="008026E6" w:rsidRPr="00BC44A7">
              <w:rPr>
                <w:i/>
              </w:rPr>
              <w:t xml:space="preserve"> </w:t>
            </w:r>
            <w:proofErr w:type="spellStart"/>
            <w:r w:rsidR="008026E6" w:rsidRPr="00BC44A7">
              <w:rPr>
                <w:i/>
              </w:rPr>
              <w:t>Theory</w:t>
            </w:r>
            <w:proofErr w:type="spellEnd"/>
            <w:r w:rsidR="008026E6" w:rsidRPr="00BC44A7">
              <w:rPr>
                <w:i/>
              </w:rPr>
              <w:t xml:space="preserve"> of </w:t>
            </w:r>
            <w:proofErr w:type="spellStart"/>
            <w:r w:rsidR="008026E6" w:rsidRPr="00BC44A7">
              <w:rPr>
                <w:i/>
              </w:rPr>
              <w:t>Law</w:t>
            </w:r>
            <w:proofErr w:type="spellEnd"/>
            <w:r w:rsidR="008026E6" w:rsidRPr="00BC44A7">
              <w:t>, 1986.</w:t>
            </w:r>
          </w:p>
          <w:p w:rsidR="00434A4B" w:rsidRPr="00BC44A7" w:rsidRDefault="00434A4B" w:rsidP="00BC44A7">
            <w:pPr>
              <w:ind w:left="453" w:hanging="453"/>
              <w:jc w:val="both"/>
            </w:pPr>
            <w:proofErr w:type="spellStart"/>
            <w:r w:rsidRPr="00BC44A7">
              <w:t>Marmor</w:t>
            </w:r>
            <w:proofErr w:type="spellEnd"/>
            <w:r w:rsidRPr="00BC44A7">
              <w:t>,</w:t>
            </w:r>
            <w:r w:rsidR="008026E6" w:rsidRPr="00BC44A7">
              <w:t xml:space="preserve"> </w:t>
            </w:r>
            <w:proofErr w:type="spellStart"/>
            <w:r w:rsidR="008026E6" w:rsidRPr="00BC44A7">
              <w:t>Andrei</w:t>
            </w:r>
            <w:proofErr w:type="spellEnd"/>
            <w:r w:rsidR="008026E6" w:rsidRPr="00BC44A7">
              <w:t>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Interpretation</w:t>
            </w:r>
            <w:proofErr w:type="spellEnd"/>
            <w:r w:rsidRPr="00BC44A7">
              <w:rPr>
                <w:i/>
              </w:rPr>
              <w:t xml:space="preserve"> and Legal </w:t>
            </w:r>
            <w:proofErr w:type="spellStart"/>
            <w:r w:rsidRPr="00BC44A7">
              <w:rPr>
                <w:i/>
              </w:rPr>
              <w:t>Theory</w:t>
            </w:r>
            <w:proofErr w:type="spellEnd"/>
            <w:r w:rsidR="008026E6" w:rsidRPr="00BC44A7">
              <w:t>, 2ª ed., 2005.</w:t>
            </w:r>
          </w:p>
          <w:p w:rsidR="00644F54" w:rsidRDefault="00644F54" w:rsidP="00BC44A7">
            <w:pPr>
              <w:ind w:left="453" w:hanging="453"/>
              <w:jc w:val="both"/>
            </w:pPr>
            <w:r w:rsidRPr="00BC44A7">
              <w:t>Moore,</w:t>
            </w:r>
            <w:r w:rsidR="008026E6" w:rsidRPr="00BC44A7">
              <w:t xml:space="preserve"> Michael:</w:t>
            </w:r>
            <w:r w:rsidRPr="00BC44A7">
              <w:t xml:space="preserve"> “</w:t>
            </w:r>
            <w:proofErr w:type="spellStart"/>
            <w:r w:rsidRPr="00BC44A7">
              <w:t>Interpreting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Interpretation</w:t>
            </w:r>
            <w:proofErr w:type="spellEnd"/>
            <w:r w:rsidRPr="00BC44A7">
              <w:t>”</w:t>
            </w:r>
            <w:r w:rsidR="008026E6" w:rsidRPr="00BC44A7">
              <w:t xml:space="preserve">, en Moore, </w:t>
            </w:r>
            <w:proofErr w:type="spellStart"/>
            <w:r w:rsidR="008026E6" w:rsidRPr="00AF6B5D">
              <w:rPr>
                <w:i/>
              </w:rPr>
              <w:t>Educ</w:t>
            </w:r>
            <w:r w:rsidR="008026E6" w:rsidRPr="00AF6B5D">
              <w:rPr>
                <w:i/>
              </w:rPr>
              <w:t>a</w:t>
            </w:r>
            <w:r w:rsidR="008026E6" w:rsidRPr="00AF6B5D">
              <w:rPr>
                <w:i/>
              </w:rPr>
              <w:t>ting</w:t>
            </w:r>
            <w:proofErr w:type="spellEnd"/>
            <w:r w:rsidR="008026E6" w:rsidRPr="00AF6B5D">
              <w:rPr>
                <w:i/>
              </w:rPr>
              <w:t xml:space="preserve"> </w:t>
            </w:r>
            <w:proofErr w:type="spellStart"/>
            <w:r w:rsidR="008026E6" w:rsidRPr="00AF6B5D">
              <w:rPr>
                <w:i/>
              </w:rPr>
              <w:t>Oneself</w:t>
            </w:r>
            <w:proofErr w:type="spellEnd"/>
            <w:r w:rsidR="008026E6" w:rsidRPr="00AF6B5D">
              <w:rPr>
                <w:i/>
              </w:rPr>
              <w:t xml:space="preserve"> in </w:t>
            </w:r>
            <w:proofErr w:type="spellStart"/>
            <w:r w:rsidR="008026E6" w:rsidRPr="00AF6B5D">
              <w:rPr>
                <w:i/>
              </w:rPr>
              <w:t>Public</w:t>
            </w:r>
            <w:proofErr w:type="spellEnd"/>
            <w:r w:rsidR="008026E6" w:rsidRPr="00AF6B5D">
              <w:t>, 2000.</w:t>
            </w:r>
          </w:p>
          <w:p w:rsidR="00AF6B5D" w:rsidRPr="00AF6B5D" w:rsidRDefault="00AF6B5D" w:rsidP="00BC44A7">
            <w:pPr>
              <w:ind w:left="453" w:hanging="453"/>
              <w:jc w:val="both"/>
            </w:pPr>
            <w:r>
              <w:t xml:space="preserve">Moore, Michael: “Legal </w:t>
            </w:r>
            <w:proofErr w:type="spellStart"/>
            <w:r>
              <w:t>Reality</w:t>
            </w:r>
            <w:proofErr w:type="spellEnd"/>
            <w:r>
              <w:t xml:space="preserve">: A </w:t>
            </w:r>
            <w:proofErr w:type="spellStart"/>
            <w:r>
              <w:t>Naturalist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to Legal </w:t>
            </w:r>
            <w:proofErr w:type="spellStart"/>
            <w:r>
              <w:t>Ontology</w:t>
            </w:r>
            <w:proofErr w:type="spellEnd"/>
            <w:r>
              <w:t xml:space="preserve">”, </w:t>
            </w:r>
            <w:proofErr w:type="spellStart"/>
            <w:r w:rsidRPr="00AF6B5D">
              <w:rPr>
                <w:i/>
              </w:rPr>
              <w:t>Law</w:t>
            </w:r>
            <w:proofErr w:type="spellEnd"/>
            <w:r w:rsidRPr="00AF6B5D">
              <w:rPr>
                <w:i/>
              </w:rPr>
              <w:t xml:space="preserve"> &amp; </w:t>
            </w:r>
            <w:proofErr w:type="spellStart"/>
            <w:r w:rsidRPr="00AF6B5D">
              <w:rPr>
                <w:i/>
              </w:rPr>
              <w:t>Philosophy</w:t>
            </w:r>
            <w:proofErr w:type="spellEnd"/>
            <w:r>
              <w:t xml:space="preserve"> 21: 2002.</w:t>
            </w:r>
          </w:p>
          <w:p w:rsidR="00F71A55" w:rsidRPr="00BC44A7" w:rsidRDefault="00434A4B" w:rsidP="00BC44A7">
            <w:pPr>
              <w:ind w:left="453" w:hanging="453"/>
              <w:jc w:val="both"/>
            </w:pPr>
            <w:r w:rsidRPr="00BC44A7">
              <w:t>Moore,</w:t>
            </w:r>
            <w:r w:rsidR="008026E6" w:rsidRPr="00BC44A7">
              <w:t xml:space="preserve"> Michael:</w:t>
            </w:r>
            <w:r w:rsidRPr="00BC44A7">
              <w:t xml:space="preserve"> “</w:t>
            </w:r>
            <w:proofErr w:type="spellStart"/>
            <w:r w:rsidRPr="00BC44A7">
              <w:t>The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Interpretive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Turn</w:t>
            </w:r>
            <w:proofErr w:type="spellEnd"/>
            <w:r w:rsidRPr="00BC44A7">
              <w:t xml:space="preserve"> in Modern </w:t>
            </w:r>
            <w:proofErr w:type="spellStart"/>
            <w:r w:rsidRPr="00BC44A7">
              <w:t>Theory</w:t>
            </w:r>
            <w:proofErr w:type="spellEnd"/>
            <w:r w:rsidRPr="00BC44A7">
              <w:t>”</w:t>
            </w:r>
            <w:r w:rsidR="008026E6" w:rsidRPr="00BC44A7">
              <w:t xml:space="preserve">, </w:t>
            </w:r>
            <w:r w:rsidR="008026E6" w:rsidRPr="00BC44A7">
              <w:t xml:space="preserve">en Moore, </w:t>
            </w:r>
            <w:proofErr w:type="spellStart"/>
            <w:r w:rsidR="008026E6" w:rsidRPr="00BC44A7">
              <w:rPr>
                <w:i/>
              </w:rPr>
              <w:t>Educ</w:t>
            </w:r>
            <w:r w:rsidR="008026E6" w:rsidRPr="00BC44A7">
              <w:rPr>
                <w:i/>
              </w:rPr>
              <w:t>a</w:t>
            </w:r>
            <w:r w:rsidR="008026E6" w:rsidRPr="00BC44A7">
              <w:rPr>
                <w:i/>
              </w:rPr>
              <w:t>ting</w:t>
            </w:r>
            <w:proofErr w:type="spellEnd"/>
            <w:r w:rsidR="008026E6" w:rsidRPr="00BC44A7">
              <w:rPr>
                <w:i/>
              </w:rPr>
              <w:t xml:space="preserve"> </w:t>
            </w:r>
            <w:proofErr w:type="spellStart"/>
            <w:r w:rsidR="008026E6" w:rsidRPr="00BC44A7">
              <w:rPr>
                <w:i/>
              </w:rPr>
              <w:t>Oneself</w:t>
            </w:r>
            <w:proofErr w:type="spellEnd"/>
            <w:r w:rsidR="008026E6" w:rsidRPr="00BC44A7">
              <w:rPr>
                <w:i/>
              </w:rPr>
              <w:t xml:space="preserve"> in </w:t>
            </w:r>
            <w:proofErr w:type="spellStart"/>
            <w:r w:rsidR="008026E6" w:rsidRPr="00BC44A7">
              <w:rPr>
                <w:i/>
              </w:rPr>
              <w:t>Public</w:t>
            </w:r>
            <w:proofErr w:type="spellEnd"/>
            <w:r w:rsidR="008026E6" w:rsidRPr="00BC44A7">
              <w:t>, 2000.</w:t>
            </w:r>
          </w:p>
          <w:p w:rsidR="00F71A55" w:rsidRPr="00BC44A7" w:rsidRDefault="00F71A55" w:rsidP="00BC44A7">
            <w:pPr>
              <w:shd w:val="clear" w:color="auto" w:fill="FFFFFF"/>
              <w:ind w:left="453" w:hanging="453"/>
              <w:jc w:val="both"/>
              <w:rPr>
                <w:color w:val="000000"/>
              </w:rPr>
            </w:pPr>
            <w:r w:rsidRPr="00BC44A7">
              <w:rPr>
                <w:color w:val="000000"/>
              </w:rPr>
              <w:t>Novoa,</w:t>
            </w:r>
            <w:r w:rsidR="008026E6" w:rsidRPr="00BC44A7">
              <w:rPr>
                <w:color w:val="000000"/>
              </w:rPr>
              <w:t xml:space="preserve"> Eduardo:</w:t>
            </w:r>
            <w:r w:rsidRPr="00BC44A7">
              <w:rPr>
                <w:rStyle w:val="apple-converted-space"/>
                <w:color w:val="000000"/>
              </w:rPr>
              <w:t> </w:t>
            </w:r>
            <w:r w:rsidR="008026E6" w:rsidRPr="00BC44A7">
              <w:rPr>
                <w:i/>
                <w:iCs/>
                <w:color w:val="000000"/>
              </w:rPr>
              <w:t>El derecho como obstáculo a</w:t>
            </w:r>
            <w:r w:rsidRPr="00BC44A7">
              <w:rPr>
                <w:i/>
                <w:iCs/>
                <w:color w:val="000000"/>
              </w:rPr>
              <w:t>l cambio s</w:t>
            </w:r>
            <w:r w:rsidRPr="00BC44A7">
              <w:rPr>
                <w:i/>
                <w:iCs/>
                <w:color w:val="000000"/>
              </w:rPr>
              <w:t>o</w:t>
            </w:r>
            <w:r w:rsidRPr="00BC44A7">
              <w:rPr>
                <w:i/>
                <w:iCs/>
                <w:color w:val="000000"/>
              </w:rPr>
              <w:t>cial</w:t>
            </w:r>
            <w:r w:rsidR="00644F54" w:rsidRPr="00BC44A7">
              <w:rPr>
                <w:color w:val="000000"/>
              </w:rPr>
              <w:t>,</w:t>
            </w:r>
            <w:r w:rsidR="008026E6" w:rsidRPr="00BC44A7">
              <w:rPr>
                <w:color w:val="000000"/>
              </w:rPr>
              <w:t xml:space="preserve"> 1975.</w:t>
            </w:r>
          </w:p>
          <w:p w:rsidR="00434A4B" w:rsidRPr="00BC44A7" w:rsidRDefault="00434A4B" w:rsidP="00BC44A7">
            <w:pPr>
              <w:ind w:left="453" w:hanging="453"/>
              <w:jc w:val="both"/>
            </w:pPr>
            <w:r w:rsidRPr="00BC44A7">
              <w:t>Patterson,</w:t>
            </w:r>
            <w:r w:rsidR="008026E6" w:rsidRPr="00BC44A7">
              <w:t xml:space="preserve"> Dennis:</w:t>
            </w:r>
            <w:r w:rsidRPr="00BC44A7">
              <w:t xml:space="preserve"> “</w:t>
            </w:r>
            <w:proofErr w:type="spellStart"/>
            <w:r w:rsidRPr="00BC44A7">
              <w:t>Law’s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Pragmatism</w:t>
            </w:r>
            <w:proofErr w:type="spellEnd"/>
            <w:r w:rsidRPr="00BC44A7">
              <w:t>”</w:t>
            </w:r>
            <w:r w:rsidR="008026E6" w:rsidRPr="00BC44A7">
              <w:t xml:space="preserve">, </w:t>
            </w:r>
            <w:r w:rsidR="008026E6" w:rsidRPr="00BC44A7">
              <w:rPr>
                <w:i/>
              </w:rPr>
              <w:t xml:space="preserve">Virginia </w:t>
            </w:r>
            <w:proofErr w:type="spellStart"/>
            <w:r w:rsidR="008026E6" w:rsidRPr="00BC44A7">
              <w:rPr>
                <w:i/>
              </w:rPr>
              <w:t>Law</w:t>
            </w:r>
            <w:proofErr w:type="spellEnd"/>
            <w:r w:rsidR="008026E6" w:rsidRPr="00BC44A7">
              <w:rPr>
                <w:i/>
              </w:rPr>
              <w:t xml:space="preserve"> </w:t>
            </w:r>
            <w:proofErr w:type="spellStart"/>
            <w:r w:rsidR="008026E6" w:rsidRPr="00BC44A7">
              <w:rPr>
                <w:i/>
              </w:rPr>
              <w:t>Review</w:t>
            </w:r>
            <w:proofErr w:type="spellEnd"/>
            <w:r w:rsidR="008026E6" w:rsidRPr="00BC44A7">
              <w:t xml:space="preserve"> 76: 1990.</w:t>
            </w:r>
          </w:p>
          <w:p w:rsidR="00434A4B" w:rsidRPr="00BC44A7" w:rsidRDefault="00434A4B" w:rsidP="00BC44A7">
            <w:pPr>
              <w:ind w:left="453" w:hanging="453"/>
              <w:jc w:val="both"/>
            </w:pPr>
            <w:r w:rsidRPr="00BC44A7">
              <w:lastRenderedPageBreak/>
              <w:t>Patterson,</w:t>
            </w:r>
            <w:r w:rsidR="008026E6" w:rsidRPr="00BC44A7">
              <w:t xml:space="preserve"> Dennis:</w:t>
            </w:r>
            <w:r w:rsidRPr="00BC44A7">
              <w:t xml:space="preserve"> “</w:t>
            </w:r>
            <w:proofErr w:type="spellStart"/>
            <w:r w:rsidRPr="00BC44A7">
              <w:t>The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Poverty</w:t>
            </w:r>
            <w:proofErr w:type="spellEnd"/>
            <w:r w:rsidRPr="00BC44A7">
              <w:t xml:space="preserve"> of </w:t>
            </w:r>
            <w:proofErr w:type="spellStart"/>
            <w:r w:rsidRPr="00BC44A7">
              <w:t>Interpretive</w:t>
            </w:r>
            <w:proofErr w:type="spellEnd"/>
            <w:r w:rsidRPr="00BC44A7">
              <w:t xml:space="preserve"> </w:t>
            </w:r>
            <w:proofErr w:type="spellStart"/>
            <w:r w:rsidRPr="00BC44A7">
              <w:t>Univers</w:t>
            </w:r>
            <w:r w:rsidRPr="00BC44A7">
              <w:t>a</w:t>
            </w:r>
            <w:r w:rsidRPr="00BC44A7">
              <w:t>lism</w:t>
            </w:r>
            <w:proofErr w:type="spellEnd"/>
            <w:r w:rsidRPr="00BC44A7">
              <w:t>”</w:t>
            </w:r>
            <w:r w:rsidR="008E15E9" w:rsidRPr="00BC44A7">
              <w:t xml:space="preserve">, </w:t>
            </w:r>
            <w:r w:rsidR="008E15E9" w:rsidRPr="00BC44A7">
              <w:rPr>
                <w:i/>
              </w:rPr>
              <w:t xml:space="preserve">Texas </w:t>
            </w:r>
            <w:proofErr w:type="spellStart"/>
            <w:r w:rsidR="008E15E9" w:rsidRPr="00BC44A7">
              <w:rPr>
                <w:i/>
              </w:rPr>
              <w:t>Law</w:t>
            </w:r>
            <w:proofErr w:type="spellEnd"/>
            <w:r w:rsidR="008E15E9" w:rsidRPr="00BC44A7">
              <w:rPr>
                <w:i/>
              </w:rPr>
              <w:t xml:space="preserve"> </w:t>
            </w:r>
            <w:proofErr w:type="spellStart"/>
            <w:r w:rsidR="008E15E9" w:rsidRPr="00BC44A7">
              <w:rPr>
                <w:i/>
              </w:rPr>
              <w:t>Review</w:t>
            </w:r>
            <w:proofErr w:type="spellEnd"/>
            <w:r w:rsidR="008E15E9" w:rsidRPr="00BC44A7">
              <w:t xml:space="preserve"> 72:1994.</w:t>
            </w:r>
          </w:p>
          <w:p w:rsidR="00434A4B" w:rsidRPr="00BC44A7" w:rsidRDefault="00434A4B" w:rsidP="00BC44A7">
            <w:pPr>
              <w:ind w:left="453" w:hanging="453"/>
              <w:jc w:val="both"/>
            </w:pPr>
            <w:r w:rsidRPr="00BC44A7">
              <w:t>Ross,</w:t>
            </w:r>
            <w:r w:rsidR="008E15E9" w:rsidRPr="00BC44A7">
              <w:t xml:space="preserve"> Alf: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On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Law</w:t>
            </w:r>
            <w:proofErr w:type="spellEnd"/>
            <w:r w:rsidRPr="00BC44A7">
              <w:rPr>
                <w:i/>
              </w:rPr>
              <w:t xml:space="preserve"> and </w:t>
            </w:r>
            <w:proofErr w:type="spellStart"/>
            <w:r w:rsidRPr="00BC44A7">
              <w:rPr>
                <w:i/>
              </w:rPr>
              <w:t>Justice</w:t>
            </w:r>
            <w:proofErr w:type="spellEnd"/>
            <w:r w:rsidRPr="00BC44A7">
              <w:t xml:space="preserve">, </w:t>
            </w:r>
            <w:r w:rsidR="00BC44A7" w:rsidRPr="00BC44A7">
              <w:t>1959.</w:t>
            </w:r>
          </w:p>
          <w:p w:rsidR="00F71A55" w:rsidRPr="00BC44A7" w:rsidRDefault="00F71A55" w:rsidP="00BC44A7">
            <w:pPr>
              <w:ind w:left="453" w:hanging="453"/>
              <w:jc w:val="both"/>
            </w:pPr>
            <w:proofErr w:type="spellStart"/>
            <w:r w:rsidRPr="00BC44A7">
              <w:t>Searle</w:t>
            </w:r>
            <w:proofErr w:type="spellEnd"/>
            <w:r w:rsidRPr="00BC44A7">
              <w:t>,</w:t>
            </w:r>
            <w:r w:rsidR="00BC44A7" w:rsidRPr="00BC44A7">
              <w:t xml:space="preserve"> John: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Making</w:t>
            </w:r>
            <w:proofErr w:type="spellEnd"/>
            <w:r w:rsidRPr="00BC44A7">
              <w:rPr>
                <w:i/>
              </w:rPr>
              <w:t xml:space="preserve"> </w:t>
            </w:r>
            <w:proofErr w:type="spellStart"/>
            <w:r w:rsidRPr="00BC44A7">
              <w:rPr>
                <w:i/>
              </w:rPr>
              <w:t>the</w:t>
            </w:r>
            <w:proofErr w:type="spellEnd"/>
            <w:r w:rsidRPr="00BC44A7">
              <w:rPr>
                <w:i/>
              </w:rPr>
              <w:t xml:space="preserve"> Social </w:t>
            </w:r>
            <w:proofErr w:type="spellStart"/>
            <w:r w:rsidRPr="00BC44A7">
              <w:rPr>
                <w:i/>
              </w:rPr>
              <w:t>World</w:t>
            </w:r>
            <w:proofErr w:type="spellEnd"/>
            <w:r w:rsidRPr="00BC44A7">
              <w:t xml:space="preserve">: </w:t>
            </w:r>
            <w:r w:rsidR="00BC44A7" w:rsidRPr="00BC44A7">
              <w:t>2010.</w:t>
            </w:r>
          </w:p>
          <w:p w:rsidR="00F71A55" w:rsidRPr="00BC44A7" w:rsidRDefault="00F71A55" w:rsidP="00BC44A7">
            <w:pPr>
              <w:ind w:left="453" w:hanging="453"/>
              <w:jc w:val="both"/>
            </w:pPr>
            <w:proofErr w:type="spellStart"/>
            <w:r w:rsidRPr="00BC44A7">
              <w:t>Shapiro</w:t>
            </w:r>
            <w:proofErr w:type="spellEnd"/>
            <w:r w:rsidRPr="00BC44A7">
              <w:t>,</w:t>
            </w:r>
            <w:r w:rsidR="00BC44A7" w:rsidRPr="00BC44A7">
              <w:t xml:space="preserve"> Scott: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Legality</w:t>
            </w:r>
            <w:proofErr w:type="spellEnd"/>
            <w:r w:rsidR="00BC44A7" w:rsidRPr="00BC44A7">
              <w:t>, 2011.</w:t>
            </w:r>
          </w:p>
          <w:p w:rsidR="00F71A55" w:rsidRDefault="00F71A55" w:rsidP="00BC44A7">
            <w:pPr>
              <w:ind w:left="453" w:hanging="453"/>
              <w:jc w:val="both"/>
            </w:pPr>
            <w:proofErr w:type="spellStart"/>
            <w:r w:rsidRPr="00BC44A7">
              <w:t>Wróblewski</w:t>
            </w:r>
            <w:proofErr w:type="spellEnd"/>
            <w:r w:rsidRPr="00BC44A7">
              <w:t>,</w:t>
            </w:r>
            <w:r w:rsidR="00BC44A7" w:rsidRPr="00BC44A7">
              <w:t xml:space="preserve"> </w:t>
            </w:r>
            <w:proofErr w:type="spellStart"/>
            <w:r w:rsidR="00BC44A7" w:rsidRPr="00BC44A7">
              <w:t>Jerzy</w:t>
            </w:r>
            <w:proofErr w:type="spellEnd"/>
            <w:r w:rsidR="00BC44A7" w:rsidRPr="00BC44A7">
              <w:t>:</w:t>
            </w:r>
            <w:r w:rsidRPr="00BC44A7">
              <w:t xml:space="preserve"> </w:t>
            </w:r>
            <w:proofErr w:type="spellStart"/>
            <w:r w:rsidRPr="00BC44A7">
              <w:rPr>
                <w:i/>
              </w:rPr>
              <w:t>The</w:t>
            </w:r>
            <w:proofErr w:type="spellEnd"/>
            <w:r w:rsidRPr="00BC44A7">
              <w:rPr>
                <w:i/>
              </w:rPr>
              <w:t xml:space="preserve"> Judicial </w:t>
            </w:r>
            <w:proofErr w:type="spellStart"/>
            <w:r w:rsidRPr="00BC44A7">
              <w:rPr>
                <w:i/>
              </w:rPr>
              <w:t>Application</w:t>
            </w:r>
            <w:proofErr w:type="spellEnd"/>
            <w:r w:rsidRPr="00BC44A7">
              <w:rPr>
                <w:i/>
              </w:rPr>
              <w:t xml:space="preserve"> of  </w:t>
            </w:r>
            <w:proofErr w:type="spellStart"/>
            <w:r w:rsidRPr="00BC44A7">
              <w:rPr>
                <w:i/>
              </w:rPr>
              <w:t>Law</w:t>
            </w:r>
            <w:proofErr w:type="spellEnd"/>
            <w:r w:rsidR="00BC44A7" w:rsidRPr="00BC44A7">
              <w:t>, 1992.</w:t>
            </w:r>
          </w:p>
        </w:tc>
      </w:tr>
    </w:tbl>
    <w:p w:rsidR="00E44C33" w:rsidRDefault="00E44C33"/>
    <w:sectPr w:rsidR="00E4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6526"/>
    <w:multiLevelType w:val="hybridMultilevel"/>
    <w:tmpl w:val="20EAF2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3101A"/>
    <w:multiLevelType w:val="hybridMultilevel"/>
    <w:tmpl w:val="2CCCEF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6"/>
    <w:rsid w:val="0001017D"/>
    <w:rsid w:val="000470E8"/>
    <w:rsid w:val="00054287"/>
    <w:rsid w:val="000C14E7"/>
    <w:rsid w:val="000C4205"/>
    <w:rsid w:val="000D6A6F"/>
    <w:rsid w:val="001105FA"/>
    <w:rsid w:val="00285692"/>
    <w:rsid w:val="004241FA"/>
    <w:rsid w:val="00434A4B"/>
    <w:rsid w:val="00464416"/>
    <w:rsid w:val="004906F8"/>
    <w:rsid w:val="0049424D"/>
    <w:rsid w:val="004B1CAB"/>
    <w:rsid w:val="0056633D"/>
    <w:rsid w:val="005F3BE6"/>
    <w:rsid w:val="0063131E"/>
    <w:rsid w:val="00644F54"/>
    <w:rsid w:val="007641C9"/>
    <w:rsid w:val="007734A3"/>
    <w:rsid w:val="008026E6"/>
    <w:rsid w:val="00822FC9"/>
    <w:rsid w:val="008E15E9"/>
    <w:rsid w:val="008E6AF7"/>
    <w:rsid w:val="00943CBF"/>
    <w:rsid w:val="009612A7"/>
    <w:rsid w:val="009A15B3"/>
    <w:rsid w:val="009A74C7"/>
    <w:rsid w:val="009B28D7"/>
    <w:rsid w:val="00AB6486"/>
    <w:rsid w:val="00AF6B5D"/>
    <w:rsid w:val="00BC44A7"/>
    <w:rsid w:val="00BC5DFD"/>
    <w:rsid w:val="00CA7F98"/>
    <w:rsid w:val="00D30B8F"/>
    <w:rsid w:val="00D35009"/>
    <w:rsid w:val="00D85B66"/>
    <w:rsid w:val="00E008E5"/>
    <w:rsid w:val="00E44C33"/>
    <w:rsid w:val="00E92DB9"/>
    <w:rsid w:val="00EB5812"/>
    <w:rsid w:val="00EE7A2B"/>
    <w:rsid w:val="00F14670"/>
    <w:rsid w:val="00F71A55"/>
    <w:rsid w:val="00FB4825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6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14670"/>
    <w:rPr>
      <w:b/>
      <w:color w:val="FFFFFF"/>
      <w:u w:val="none"/>
    </w:rPr>
  </w:style>
  <w:style w:type="character" w:styleId="Hyperlink">
    <w:name w:val="Hyperlink"/>
    <w:rsid w:val="00F14670"/>
    <w:rPr>
      <w:rFonts w:ascii="Arial" w:hAnsi="Arial"/>
      <w:b/>
      <w:color w:val="FFFFFF"/>
      <w:u w:val="none"/>
    </w:rPr>
  </w:style>
  <w:style w:type="table" w:styleId="TableGrid">
    <w:name w:val="Table Grid"/>
    <w:basedOn w:val="TableNormal"/>
    <w:rsid w:val="00D8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F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4287"/>
  </w:style>
  <w:style w:type="paragraph" w:styleId="ListParagraph">
    <w:name w:val="List Paragraph"/>
    <w:basedOn w:val="Normal"/>
    <w:uiPriority w:val="34"/>
    <w:qFormat/>
    <w:rsid w:val="0049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6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14670"/>
    <w:rPr>
      <w:b/>
      <w:color w:val="FFFFFF"/>
      <w:u w:val="none"/>
    </w:rPr>
  </w:style>
  <w:style w:type="character" w:styleId="Hyperlink">
    <w:name w:val="Hyperlink"/>
    <w:rsid w:val="00F14670"/>
    <w:rPr>
      <w:rFonts w:ascii="Arial" w:hAnsi="Arial"/>
      <w:b/>
      <w:color w:val="FFFFFF"/>
      <w:u w:val="none"/>
    </w:rPr>
  </w:style>
  <w:style w:type="table" w:styleId="TableGrid">
    <w:name w:val="Table Grid"/>
    <w:basedOn w:val="TableNormal"/>
    <w:rsid w:val="00D8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F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4287"/>
  </w:style>
  <w:style w:type="paragraph" w:styleId="ListParagraph">
    <w:name w:val="List Paragraph"/>
    <w:basedOn w:val="Normal"/>
    <w:uiPriority w:val="34"/>
    <w:qFormat/>
    <w:rsid w:val="0049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1053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>Universidad de Chile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iperez</dc:creator>
  <cp:lastModifiedBy>Juan Pablo Mañalich Raffo</cp:lastModifiedBy>
  <cp:revision>12</cp:revision>
  <cp:lastPrinted>2010-05-07T19:26:00Z</cp:lastPrinted>
  <dcterms:created xsi:type="dcterms:W3CDTF">2016-06-23T01:23:00Z</dcterms:created>
  <dcterms:modified xsi:type="dcterms:W3CDTF">2016-06-30T05:34:00Z</dcterms:modified>
</cp:coreProperties>
</file>