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45" w:rsidRPr="001942B8" w:rsidRDefault="00151045" w:rsidP="00D163C9">
      <w:pPr>
        <w:pStyle w:val="Ttulo1"/>
        <w:jc w:val="center"/>
        <w:rPr>
          <w:color w:val="000099"/>
        </w:rPr>
      </w:pPr>
      <w:r w:rsidRPr="001942B8">
        <w:rPr>
          <w:color w:val="000099"/>
        </w:rPr>
        <w:t>PROGRAMA DE ASIGNATURA</w:t>
      </w:r>
    </w:p>
    <w:p w:rsidR="00151045" w:rsidRPr="000636B4" w:rsidRDefault="00151045" w:rsidP="00151045"/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965"/>
        <w:gridCol w:w="2099"/>
        <w:gridCol w:w="4008"/>
      </w:tblGrid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 xml:space="preserve">Programa </w:t>
            </w:r>
          </w:p>
        </w:tc>
        <w:tc>
          <w:tcPr>
            <w:tcW w:w="7072" w:type="dxa"/>
            <w:gridSpan w:val="3"/>
          </w:tcPr>
          <w:p w:rsidR="00151045" w:rsidRPr="009C2DEC" w:rsidRDefault="001442DE" w:rsidP="00047B02">
            <w:pPr>
              <w:rPr>
                <w:b/>
              </w:rPr>
            </w:pPr>
            <w:r w:rsidRPr="009C2DEC">
              <w:rPr>
                <w:b/>
              </w:rPr>
              <w:t xml:space="preserve">Doctorado en </w:t>
            </w:r>
            <w:r w:rsidR="002F3B3E">
              <w:rPr>
                <w:b/>
              </w:rPr>
              <w:t>Microbiología, Doctorado en Biotecnología</w:t>
            </w:r>
          </w:p>
        </w:tc>
      </w:tr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 xml:space="preserve">Mención </w:t>
            </w:r>
          </w:p>
        </w:tc>
        <w:tc>
          <w:tcPr>
            <w:tcW w:w="7072" w:type="dxa"/>
            <w:gridSpan w:val="3"/>
          </w:tcPr>
          <w:p w:rsidR="00151045" w:rsidRPr="009C2DEC" w:rsidRDefault="00CB2462" w:rsidP="00B401D1">
            <w:r w:rsidRPr="009C2DEC">
              <w:rPr>
                <w:lang w:val="es-ES_tradnl"/>
              </w:rPr>
              <w:t>No presenta menciones</w:t>
            </w:r>
          </w:p>
        </w:tc>
      </w:tr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>Asignatura</w:t>
            </w:r>
          </w:p>
        </w:tc>
        <w:tc>
          <w:tcPr>
            <w:tcW w:w="7072" w:type="dxa"/>
            <w:gridSpan w:val="3"/>
          </w:tcPr>
          <w:p w:rsidR="00151045" w:rsidRPr="009C2DEC" w:rsidRDefault="002F3B3E" w:rsidP="00047B02">
            <w:pPr>
              <w:rPr>
                <w:b/>
              </w:rPr>
            </w:pPr>
            <w:bookmarkStart w:id="0" w:name="_GoBack"/>
            <w:r>
              <w:t>Inmunología y patogenicidad</w:t>
            </w:r>
            <w:bookmarkEnd w:id="0"/>
          </w:p>
        </w:tc>
      </w:tr>
      <w:tr w:rsidR="000D2BD5" w:rsidRPr="009C2DEC" w:rsidTr="00494851">
        <w:tc>
          <w:tcPr>
            <w:tcW w:w="1756" w:type="dxa"/>
          </w:tcPr>
          <w:p w:rsidR="000D2BD5" w:rsidRPr="009C2DEC" w:rsidRDefault="000D2BD5" w:rsidP="00047B02">
            <w:r w:rsidRPr="009C2DEC">
              <w:t>Área OCDE</w:t>
            </w:r>
          </w:p>
        </w:tc>
        <w:tc>
          <w:tcPr>
            <w:tcW w:w="7072" w:type="dxa"/>
            <w:gridSpan w:val="3"/>
          </w:tcPr>
          <w:p w:rsidR="000D2BD5" w:rsidRPr="009C2DEC" w:rsidRDefault="00286408" w:rsidP="00047B02">
            <w:r w:rsidRPr="009C2DEC">
              <w:t xml:space="preserve">6.1 Ciencias Naturales. 6.1F. Ciencias Biológicas. </w:t>
            </w:r>
          </w:p>
        </w:tc>
      </w:tr>
      <w:tr w:rsidR="00CA06ED" w:rsidRPr="009C2DEC" w:rsidTr="00494851">
        <w:tc>
          <w:tcPr>
            <w:tcW w:w="1756" w:type="dxa"/>
          </w:tcPr>
          <w:p w:rsidR="00CA06ED" w:rsidRPr="009C2DEC" w:rsidRDefault="00CA06ED" w:rsidP="00047B02">
            <w:r>
              <w:t>Coordinadores</w:t>
            </w:r>
          </w:p>
        </w:tc>
        <w:tc>
          <w:tcPr>
            <w:tcW w:w="7072" w:type="dxa"/>
            <w:gridSpan w:val="3"/>
          </w:tcPr>
          <w:p w:rsidR="00CA06ED" w:rsidRPr="009C2DEC" w:rsidRDefault="00CA06ED" w:rsidP="00CA06ED">
            <w:pPr>
              <w:rPr>
                <w:b/>
              </w:rPr>
            </w:pPr>
            <w:r>
              <w:t>Dra. Mónica Imarai, Dr Claudio Acuña</w:t>
            </w:r>
          </w:p>
        </w:tc>
      </w:tr>
      <w:tr w:rsidR="00CA06ED" w:rsidRPr="009C2DEC" w:rsidTr="00494851">
        <w:tc>
          <w:tcPr>
            <w:tcW w:w="1756" w:type="dxa"/>
          </w:tcPr>
          <w:p w:rsidR="00CA06ED" w:rsidRPr="00CA06ED" w:rsidRDefault="00CA06ED" w:rsidP="00047B02">
            <w:r w:rsidRPr="00CA06ED">
              <w:t>Participantes</w:t>
            </w:r>
          </w:p>
        </w:tc>
        <w:tc>
          <w:tcPr>
            <w:tcW w:w="7072" w:type="dxa"/>
            <w:gridSpan w:val="3"/>
          </w:tcPr>
          <w:p w:rsidR="00CA06ED" w:rsidRPr="00CA06ED" w:rsidRDefault="00CA06ED" w:rsidP="00047B02">
            <w:r w:rsidRPr="00CA06ED">
              <w:t>Académicos U de Chile U de Santiago, Invitados</w:t>
            </w:r>
          </w:p>
        </w:tc>
      </w:tr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 xml:space="preserve">Código </w:t>
            </w:r>
          </w:p>
        </w:tc>
        <w:tc>
          <w:tcPr>
            <w:tcW w:w="7072" w:type="dxa"/>
            <w:gridSpan w:val="3"/>
          </w:tcPr>
          <w:p w:rsidR="00151045" w:rsidRPr="009C2DEC" w:rsidRDefault="00151045" w:rsidP="00047B02">
            <w:pPr>
              <w:rPr>
                <w:b/>
              </w:rPr>
            </w:pPr>
          </w:p>
        </w:tc>
      </w:tr>
      <w:tr w:rsidR="00F674CE" w:rsidRPr="009C2DEC" w:rsidTr="00494851">
        <w:tc>
          <w:tcPr>
            <w:tcW w:w="1756" w:type="dxa"/>
          </w:tcPr>
          <w:p w:rsidR="00F674CE" w:rsidRPr="009C2DEC" w:rsidRDefault="00F674CE" w:rsidP="001942B8">
            <w:pPr>
              <w:spacing w:after="0"/>
            </w:pPr>
            <w:r w:rsidRPr="009C2DEC">
              <w:t xml:space="preserve">Créditos </w:t>
            </w:r>
          </w:p>
          <w:p w:rsidR="00F674CE" w:rsidRPr="009C2DEC" w:rsidRDefault="00F674CE" w:rsidP="001942B8">
            <w:pPr>
              <w:spacing w:after="0"/>
            </w:pPr>
            <w:r w:rsidRPr="009C2DEC">
              <w:t>SCT-Chile</w:t>
            </w:r>
          </w:p>
        </w:tc>
        <w:tc>
          <w:tcPr>
            <w:tcW w:w="965" w:type="dxa"/>
          </w:tcPr>
          <w:p w:rsidR="00F674CE" w:rsidRPr="009C2DEC" w:rsidRDefault="00F674CE" w:rsidP="001942B8">
            <w:pPr>
              <w:spacing w:after="0"/>
            </w:pPr>
          </w:p>
        </w:tc>
        <w:tc>
          <w:tcPr>
            <w:tcW w:w="2099" w:type="dxa"/>
            <w:tcBorders>
              <w:top w:val="single" w:sz="4" w:space="0" w:color="auto"/>
              <w:right w:val="single" w:sz="4" w:space="0" w:color="auto"/>
            </w:tcBorders>
          </w:tcPr>
          <w:p w:rsidR="000F1162" w:rsidRPr="009C2DEC" w:rsidRDefault="00322B45" w:rsidP="001942B8">
            <w:pPr>
              <w:spacing w:after="0"/>
            </w:pPr>
            <w:r w:rsidRPr="009C2DEC">
              <w:t>Horas presenciales semanales</w:t>
            </w:r>
            <w:r w:rsidR="00F674CE" w:rsidRPr="009C2DEC">
              <w:t xml:space="preserve"> (horas</w:t>
            </w:r>
            <w:r w:rsidRPr="009C2DEC">
              <w:t xml:space="preserve"> p</w:t>
            </w:r>
            <w:r w:rsidR="00F674CE" w:rsidRPr="009C2DEC">
              <w:t>edagógicas (TEL)</w:t>
            </w:r>
            <w:r w:rsidRPr="009C2DEC">
              <w:t>)</w:t>
            </w:r>
            <w:r w:rsidR="008027EB" w:rsidRPr="009C2DEC">
              <w:t>:</w:t>
            </w:r>
          </w:p>
          <w:p w:rsidR="008027EB" w:rsidRPr="009C2DEC" w:rsidRDefault="00A541D4" w:rsidP="001942B8">
            <w:pPr>
              <w:spacing w:after="0"/>
              <w:rPr>
                <w:b/>
              </w:rPr>
            </w:pPr>
            <w:r w:rsidRPr="009C2DEC">
              <w:rPr>
                <w:b/>
              </w:rPr>
              <w:t>4</w:t>
            </w:r>
            <w:r w:rsidR="00A63C03" w:rsidRPr="009C2DEC">
              <w:rPr>
                <w:b/>
              </w:rPr>
              <w:t>-0-0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</w:tcPr>
          <w:p w:rsidR="000F1162" w:rsidRPr="009C2DEC" w:rsidRDefault="00322B45" w:rsidP="001942B8">
            <w:pPr>
              <w:spacing w:after="0"/>
            </w:pPr>
            <w:r w:rsidRPr="009C2DEC">
              <w:t>Trabajo Autónomo semanal</w:t>
            </w:r>
            <w:r w:rsidR="00F674CE" w:rsidRPr="009C2DEC">
              <w:t xml:space="preserve"> </w:t>
            </w:r>
            <w:r w:rsidRPr="009C2DEC">
              <w:t>(</w:t>
            </w:r>
            <w:r w:rsidR="00F674CE" w:rsidRPr="009C2DEC">
              <w:t>horas cronológicas</w:t>
            </w:r>
            <w:r w:rsidRPr="009C2DEC">
              <w:t xml:space="preserve">): </w:t>
            </w:r>
          </w:p>
          <w:p w:rsidR="001942B8" w:rsidRPr="009C2DEC" w:rsidRDefault="001942B8" w:rsidP="001942B8">
            <w:pPr>
              <w:spacing w:after="0"/>
              <w:rPr>
                <w:b/>
              </w:rPr>
            </w:pPr>
          </w:p>
          <w:p w:rsidR="009D5C4B" w:rsidRPr="009C2DEC" w:rsidRDefault="00A541D4" w:rsidP="001942B8">
            <w:pPr>
              <w:spacing w:after="0"/>
              <w:rPr>
                <w:b/>
              </w:rPr>
            </w:pPr>
            <w:r w:rsidRPr="009C2DEC">
              <w:rPr>
                <w:b/>
              </w:rPr>
              <w:t>7</w:t>
            </w:r>
            <w:r w:rsidR="00A63C03" w:rsidRPr="009C2DEC">
              <w:rPr>
                <w:b/>
              </w:rPr>
              <w:t xml:space="preserve"> SCT</w:t>
            </w:r>
          </w:p>
        </w:tc>
      </w:tr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 xml:space="preserve">Semestre </w:t>
            </w:r>
          </w:p>
        </w:tc>
        <w:tc>
          <w:tcPr>
            <w:tcW w:w="7072" w:type="dxa"/>
            <w:gridSpan w:val="3"/>
          </w:tcPr>
          <w:p w:rsidR="00151045" w:rsidRPr="009C2DEC" w:rsidRDefault="00AF649A" w:rsidP="00047B02">
            <w:pPr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51045" w:rsidRPr="009C2DEC" w:rsidTr="00494851">
        <w:tc>
          <w:tcPr>
            <w:tcW w:w="1756" w:type="dxa"/>
          </w:tcPr>
          <w:p w:rsidR="00151045" w:rsidRPr="009C2DEC" w:rsidRDefault="00151045" w:rsidP="00047B02">
            <w:r w:rsidRPr="009C2DEC">
              <w:t>Requisitos</w:t>
            </w:r>
          </w:p>
        </w:tc>
        <w:tc>
          <w:tcPr>
            <w:tcW w:w="7072" w:type="dxa"/>
            <w:gridSpan w:val="3"/>
          </w:tcPr>
          <w:p w:rsidR="00151045" w:rsidRPr="009C2DEC" w:rsidRDefault="009D5C4B" w:rsidP="009D5C4B">
            <w:r w:rsidRPr="009C2DEC">
              <w:t>No tiene</w:t>
            </w:r>
          </w:p>
        </w:tc>
      </w:tr>
      <w:tr w:rsidR="00151045" w:rsidRPr="009C2DEC" w:rsidTr="00CC7813">
        <w:trPr>
          <w:trHeight w:val="1842"/>
        </w:trPr>
        <w:tc>
          <w:tcPr>
            <w:tcW w:w="1756" w:type="dxa"/>
            <w:vMerge w:val="restart"/>
          </w:tcPr>
          <w:p w:rsidR="00151045" w:rsidRPr="009C2DEC" w:rsidRDefault="00151045" w:rsidP="00047B02">
            <w:r w:rsidRPr="009C2DEC">
              <w:t xml:space="preserve">Descripción </w:t>
            </w:r>
          </w:p>
        </w:tc>
        <w:tc>
          <w:tcPr>
            <w:tcW w:w="7072" w:type="dxa"/>
            <w:gridSpan w:val="3"/>
          </w:tcPr>
          <w:p w:rsidR="001942B8" w:rsidRPr="009C2DEC" w:rsidRDefault="001942B8" w:rsidP="001942B8">
            <w:pPr>
              <w:pStyle w:val="Prrafodelista"/>
              <w:rPr>
                <w:b/>
              </w:rPr>
            </w:pPr>
          </w:p>
          <w:p w:rsidR="00E406FF" w:rsidRPr="009C2DEC" w:rsidRDefault="006879D2" w:rsidP="00E406FF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9C2DEC">
              <w:rPr>
                <w:b/>
              </w:rPr>
              <w:t>Descripción de la a</w:t>
            </w:r>
            <w:r w:rsidR="00E406FF" w:rsidRPr="009C2DEC">
              <w:rPr>
                <w:b/>
              </w:rPr>
              <w:t>signatura</w:t>
            </w:r>
          </w:p>
          <w:p w:rsidR="00E406FF" w:rsidRPr="009C2DEC" w:rsidRDefault="00E406FF" w:rsidP="00E406FF">
            <w:pPr>
              <w:autoSpaceDE w:val="0"/>
              <w:autoSpaceDN w:val="0"/>
              <w:adjustRightInd w:val="0"/>
              <w:jc w:val="both"/>
            </w:pPr>
            <w:r w:rsidRPr="009C2DEC">
              <w:t xml:space="preserve">La asignatura </w:t>
            </w:r>
            <w:r w:rsidR="00CB2462" w:rsidRPr="009C2DEC">
              <w:t xml:space="preserve">de </w:t>
            </w:r>
            <w:r w:rsidR="00AF649A">
              <w:t>Inmunología</w:t>
            </w:r>
            <w:r w:rsidR="00CB2462" w:rsidRPr="009C2DEC">
              <w:t xml:space="preserve"> </w:t>
            </w:r>
            <w:r w:rsidRPr="009C2DEC">
              <w:t xml:space="preserve">proporciona conocimientos avanzados sobre áreas específicas de la </w:t>
            </w:r>
            <w:r w:rsidR="00AF649A">
              <w:t>respuesta inmune</w:t>
            </w:r>
            <w:r w:rsidRPr="009C2DEC">
              <w:t>, con énfasis en la</w:t>
            </w:r>
            <w:r w:rsidR="00AF649A">
              <w:t xml:space="preserve"> interacción hospedero patógeno y mecanismos frente a lagunas enfermedades altamente prevalentes. </w:t>
            </w:r>
            <w:r w:rsidRPr="009C2DEC">
              <w:t xml:space="preserve">También proporciona conocimientos </w:t>
            </w:r>
            <w:r w:rsidR="00AF649A">
              <w:t xml:space="preserve">básicos sobre inmunología y desarrollo de </w:t>
            </w:r>
            <w:r w:rsidRPr="009C2DEC">
              <w:t xml:space="preserve">aplicaciones tecnologías de investigaciones biomédicas. </w:t>
            </w:r>
          </w:p>
          <w:p w:rsidR="00CB2462" w:rsidRPr="009C2DEC" w:rsidRDefault="009C2DEC" w:rsidP="00E406FF">
            <w:pPr>
              <w:autoSpaceDE w:val="0"/>
              <w:autoSpaceDN w:val="0"/>
              <w:adjustRightInd w:val="0"/>
              <w:jc w:val="both"/>
            </w:pPr>
            <w:r>
              <w:rPr>
                <w:lang w:val="es-ES_tradnl"/>
              </w:rPr>
              <w:t xml:space="preserve">La asignatura </w:t>
            </w:r>
            <w:r w:rsidR="00CB2462" w:rsidRPr="009C2DEC">
              <w:t xml:space="preserve">prepara a los estudiantes en un área específica de la </w:t>
            </w:r>
            <w:r w:rsidR="00AF649A">
              <w:t xml:space="preserve">interacción sistema inmune patógenos, </w:t>
            </w:r>
            <w:r w:rsidR="00CB2462" w:rsidRPr="009C2DEC">
              <w:t>mediante revisión exhaustiva de temas de esta especialidad.</w:t>
            </w:r>
          </w:p>
          <w:p w:rsidR="00E406FF" w:rsidRPr="009C2DEC" w:rsidRDefault="00CB2462" w:rsidP="00E406FF">
            <w:pPr>
              <w:pStyle w:val="Prrafodelista"/>
              <w:numPr>
                <w:ilvl w:val="0"/>
                <w:numId w:val="2"/>
              </w:numPr>
            </w:pPr>
            <w:r w:rsidRPr="009C2DEC">
              <w:rPr>
                <w:b/>
              </w:rPr>
              <w:t>Contribución al perfil de e</w:t>
            </w:r>
            <w:r w:rsidR="00E406FF" w:rsidRPr="009C2DEC">
              <w:rPr>
                <w:b/>
              </w:rPr>
              <w:t>greso</w:t>
            </w:r>
          </w:p>
          <w:p w:rsidR="00CC516C" w:rsidRPr="009C2DEC" w:rsidRDefault="00CB2462" w:rsidP="00CC7813">
            <w:pPr>
              <w:jc w:val="both"/>
            </w:pPr>
            <w:r w:rsidRPr="009C2DEC">
              <w:t>La asignatura contribuye al perfil de egreso en el punto</w:t>
            </w:r>
            <w:r w:rsidRPr="009C2DEC">
              <w:rPr>
                <w:b/>
              </w:rPr>
              <w:t xml:space="preserve"> b)</w:t>
            </w:r>
            <w:r w:rsidR="00CC516C" w:rsidRPr="009C2DEC">
              <w:t>:</w:t>
            </w:r>
          </w:p>
          <w:p w:rsidR="00AD5611" w:rsidRPr="009C2DEC" w:rsidRDefault="00AD5611" w:rsidP="00CC7813">
            <w:pPr>
              <w:jc w:val="both"/>
            </w:pPr>
          </w:p>
        </w:tc>
      </w:tr>
      <w:tr w:rsidR="00494851" w:rsidRPr="009C2DEC" w:rsidTr="00494851">
        <w:trPr>
          <w:trHeight w:val="235"/>
        </w:trPr>
        <w:tc>
          <w:tcPr>
            <w:tcW w:w="1756" w:type="dxa"/>
            <w:vMerge/>
          </w:tcPr>
          <w:p w:rsidR="00494851" w:rsidRPr="009C2DEC" w:rsidRDefault="00494851" w:rsidP="00047B02"/>
        </w:tc>
        <w:tc>
          <w:tcPr>
            <w:tcW w:w="3064" w:type="dxa"/>
            <w:gridSpan w:val="2"/>
            <w:tcBorders>
              <w:bottom w:val="dotted" w:sz="4" w:space="0" w:color="auto"/>
            </w:tcBorders>
          </w:tcPr>
          <w:p w:rsidR="00494851" w:rsidRPr="009C2DEC" w:rsidRDefault="00494851" w:rsidP="00047B02">
            <w:pPr>
              <w:rPr>
                <w:b/>
              </w:rPr>
            </w:pPr>
            <w:r w:rsidRPr="009C2DEC">
              <w:rPr>
                <w:b/>
              </w:rPr>
              <w:t>Resultados de aprendizaje</w:t>
            </w:r>
          </w:p>
        </w:tc>
        <w:tc>
          <w:tcPr>
            <w:tcW w:w="4008" w:type="dxa"/>
            <w:tcBorders>
              <w:bottom w:val="dotted" w:sz="4" w:space="0" w:color="auto"/>
            </w:tcBorders>
          </w:tcPr>
          <w:p w:rsidR="00494851" w:rsidRPr="009C2DEC" w:rsidRDefault="00494851" w:rsidP="004B608D">
            <w:pPr>
              <w:pStyle w:val="Default"/>
              <w:rPr>
                <w:rFonts w:asciiTheme="minorHAnsi" w:hAnsiTheme="minorHAnsi"/>
                <w:b/>
                <w:color w:val="222222"/>
                <w:sz w:val="22"/>
                <w:szCs w:val="22"/>
              </w:rPr>
            </w:pPr>
            <w:r w:rsidRPr="009C2DEC">
              <w:rPr>
                <w:rFonts w:asciiTheme="minorHAnsi" w:hAnsiTheme="minorHAnsi"/>
                <w:b/>
                <w:color w:val="222222"/>
                <w:sz w:val="22"/>
                <w:szCs w:val="22"/>
              </w:rPr>
              <w:t>Presentación del curso</w:t>
            </w:r>
          </w:p>
          <w:p w:rsidR="00494851" w:rsidRPr="009C2DEC" w:rsidRDefault="00494851" w:rsidP="004B608D">
            <w:pPr>
              <w:pStyle w:val="Default"/>
              <w:rPr>
                <w:rFonts w:asciiTheme="minorHAnsi" w:hAnsiTheme="minorHAnsi"/>
                <w:b/>
                <w:color w:val="222222"/>
                <w:sz w:val="22"/>
                <w:szCs w:val="22"/>
              </w:rPr>
            </w:pPr>
          </w:p>
        </w:tc>
      </w:tr>
      <w:tr w:rsidR="00494851" w:rsidRPr="009C2DEC" w:rsidTr="00494851">
        <w:trPr>
          <w:trHeight w:val="468"/>
        </w:trPr>
        <w:tc>
          <w:tcPr>
            <w:tcW w:w="1756" w:type="dxa"/>
            <w:vMerge/>
          </w:tcPr>
          <w:p w:rsidR="00494851" w:rsidRPr="009C2DEC" w:rsidRDefault="00494851" w:rsidP="00047B02"/>
        </w:tc>
        <w:tc>
          <w:tcPr>
            <w:tcW w:w="30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94851" w:rsidRPr="009C2DEC" w:rsidRDefault="005F7F64" w:rsidP="001071C5">
            <w:pPr>
              <w:autoSpaceDE w:val="0"/>
              <w:autoSpaceDN w:val="0"/>
              <w:adjustRightInd w:val="0"/>
              <w:jc w:val="both"/>
            </w:pPr>
            <w:r>
              <w:t>Conocer la respuesta inmune en su amplio espectro</w:t>
            </w:r>
          </w:p>
        </w:tc>
        <w:tc>
          <w:tcPr>
            <w:tcW w:w="4008" w:type="dxa"/>
            <w:tcBorders>
              <w:top w:val="dotted" w:sz="4" w:space="0" w:color="auto"/>
              <w:bottom w:val="dotted" w:sz="4" w:space="0" w:color="auto"/>
            </w:tcBorders>
          </w:tcPr>
          <w:p w:rsidR="00494851" w:rsidRPr="009C2DEC" w:rsidRDefault="00AF649A" w:rsidP="004B608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</w:t>
            </w:r>
          </w:p>
        </w:tc>
      </w:tr>
      <w:tr w:rsidR="005F7F64" w:rsidRPr="009C2DEC" w:rsidTr="00494851">
        <w:trPr>
          <w:trHeight w:val="785"/>
        </w:trPr>
        <w:tc>
          <w:tcPr>
            <w:tcW w:w="1756" w:type="dxa"/>
            <w:vMerge/>
          </w:tcPr>
          <w:p w:rsidR="005F7F64" w:rsidRPr="009C2DEC" w:rsidRDefault="005F7F64" w:rsidP="00047B02"/>
        </w:tc>
        <w:tc>
          <w:tcPr>
            <w:tcW w:w="30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494851">
            <w:pPr>
              <w:autoSpaceDE w:val="0"/>
              <w:autoSpaceDN w:val="0"/>
              <w:adjustRightInd w:val="0"/>
              <w:jc w:val="both"/>
            </w:pPr>
            <w:r w:rsidRPr="009C2DEC">
              <w:t xml:space="preserve">Comprender los mecanismos moleculares </w:t>
            </w:r>
            <w:r>
              <w:t>y celulares asociados al reconocimiento de patógenos y respuesta inmune innata en general.</w:t>
            </w:r>
          </w:p>
        </w:tc>
        <w:tc>
          <w:tcPr>
            <w:tcW w:w="4008" w:type="dxa"/>
            <w:tcBorders>
              <w:top w:val="dotted" w:sz="4" w:space="0" w:color="auto"/>
              <w:bottom w:val="dotted" w:sz="4" w:space="0" w:color="auto"/>
            </w:tcBorders>
          </w:tcPr>
          <w:p w:rsidR="005F7F64" w:rsidRDefault="005F7F64" w:rsidP="004B608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 Innata</w:t>
            </w:r>
          </w:p>
        </w:tc>
      </w:tr>
      <w:tr w:rsidR="005F7F64" w:rsidRPr="009C2DEC" w:rsidTr="00494851">
        <w:trPr>
          <w:trHeight w:val="785"/>
        </w:trPr>
        <w:tc>
          <w:tcPr>
            <w:tcW w:w="1756" w:type="dxa"/>
            <w:vMerge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 w:rsidRPr="009C2DEC">
              <w:t xml:space="preserve">Comprender los mecanismos moleculares </w:t>
            </w:r>
            <w:r>
              <w:t>y celulares asociados al reconocimiento de patógenos y respuesta inmune adquirida.</w:t>
            </w:r>
          </w:p>
        </w:tc>
        <w:tc>
          <w:tcPr>
            <w:tcW w:w="4008" w:type="dxa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 Adquirida</w:t>
            </w:r>
          </w:p>
        </w:tc>
      </w:tr>
      <w:tr w:rsidR="005F7F64" w:rsidRPr="009C2DEC" w:rsidTr="00494851">
        <w:trPr>
          <w:trHeight w:val="785"/>
        </w:trPr>
        <w:tc>
          <w:tcPr>
            <w:tcW w:w="1756" w:type="dxa"/>
            <w:vMerge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>
              <w:t xml:space="preserve">Comprender los mecanismos de activación de la  respuesta inmune adaptativa asociadas a la presentación de antígenos </w:t>
            </w:r>
          </w:p>
        </w:tc>
        <w:tc>
          <w:tcPr>
            <w:tcW w:w="4008" w:type="dxa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Procesamiento y presentación de Antígenos</w:t>
            </w:r>
          </w:p>
        </w:tc>
      </w:tr>
      <w:tr w:rsidR="005F7F64" w:rsidRPr="009C2DEC" w:rsidTr="00494851">
        <w:trPr>
          <w:trHeight w:val="785"/>
        </w:trPr>
        <w:tc>
          <w:tcPr>
            <w:tcW w:w="1756" w:type="dxa"/>
            <w:vMerge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>
              <w:t>conocer los mecanismos asociados a algunos patógenos bacterianos y su interacción con la respuesta inmune</w:t>
            </w:r>
          </w:p>
        </w:tc>
        <w:tc>
          <w:tcPr>
            <w:tcW w:w="4008" w:type="dxa"/>
            <w:tcBorders>
              <w:top w:val="dotted" w:sz="4" w:space="0" w:color="auto"/>
              <w:bottom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Mecanismos de respuesta frente a bacterias</w:t>
            </w:r>
          </w:p>
        </w:tc>
      </w:tr>
      <w:tr w:rsidR="005F7F64" w:rsidRPr="009C2DEC" w:rsidTr="00494851">
        <w:trPr>
          <w:trHeight w:val="568"/>
        </w:trPr>
        <w:tc>
          <w:tcPr>
            <w:tcW w:w="1756" w:type="dxa"/>
            <w:vMerge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 w:rsidRPr="009C2DEC">
              <w:t xml:space="preserve">Comprender los fundamentos biológicos </w:t>
            </w:r>
            <w:r>
              <w:t>del uso de bacterias como mecanismos de estimulación de la respuesta inmune</w:t>
            </w:r>
          </w:p>
        </w:tc>
        <w:tc>
          <w:tcPr>
            <w:tcW w:w="4008" w:type="dxa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Uso de Bacterias como estimulantes del sistema inmune</w:t>
            </w:r>
          </w:p>
        </w:tc>
      </w:tr>
      <w:tr w:rsidR="005F7F64" w:rsidRPr="009C2DEC" w:rsidTr="00494851">
        <w:trPr>
          <w:trHeight w:val="568"/>
        </w:trPr>
        <w:tc>
          <w:tcPr>
            <w:tcW w:w="1756" w:type="dxa"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>
              <w:t>conocer los mecanismos asociados a algunos patógenos viraless y su interacción con la respuesta inmune</w:t>
            </w:r>
          </w:p>
        </w:tc>
        <w:tc>
          <w:tcPr>
            <w:tcW w:w="4008" w:type="dxa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Mecanismos de respuesta frente a virus</w:t>
            </w:r>
          </w:p>
        </w:tc>
      </w:tr>
      <w:tr w:rsidR="005F7F64" w:rsidRPr="009C2DEC" w:rsidTr="00494851">
        <w:trPr>
          <w:trHeight w:val="568"/>
        </w:trPr>
        <w:tc>
          <w:tcPr>
            <w:tcW w:w="1756" w:type="dxa"/>
          </w:tcPr>
          <w:p w:rsidR="005F7F64" w:rsidRPr="009C2DEC" w:rsidRDefault="005F7F64" w:rsidP="005F7F64"/>
        </w:tc>
        <w:tc>
          <w:tcPr>
            <w:tcW w:w="3064" w:type="dxa"/>
            <w:gridSpan w:val="2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autoSpaceDE w:val="0"/>
              <w:autoSpaceDN w:val="0"/>
              <w:adjustRightInd w:val="0"/>
              <w:jc w:val="both"/>
            </w:pPr>
            <w:r w:rsidRPr="009C2DEC">
              <w:t xml:space="preserve">Comprender los fundamentos biológicos </w:t>
            </w:r>
            <w:r>
              <w:t>del uso de bacterias como mecanismos de estimulación de la respuesta inmune</w:t>
            </w:r>
          </w:p>
        </w:tc>
        <w:tc>
          <w:tcPr>
            <w:tcW w:w="4008" w:type="dxa"/>
            <w:tcBorders>
              <w:top w:val="dotted" w:sz="4" w:space="0" w:color="auto"/>
            </w:tcBorders>
          </w:tcPr>
          <w:p w:rsidR="005F7F64" w:rsidRPr="009C2DEC" w:rsidRDefault="005F7F64" w:rsidP="005F7F64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Uso de virus en la respuesta inmune</w:t>
            </w:r>
          </w:p>
        </w:tc>
      </w:tr>
    </w:tbl>
    <w:p w:rsidR="00151045" w:rsidRDefault="001510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7071"/>
      </w:tblGrid>
      <w:tr w:rsidR="00151045" w:rsidRPr="007E6EC1" w:rsidTr="00047B02">
        <w:trPr>
          <w:trHeight w:val="1766"/>
        </w:trPr>
        <w:tc>
          <w:tcPr>
            <w:tcW w:w="1757" w:type="dxa"/>
            <w:vMerge w:val="restart"/>
          </w:tcPr>
          <w:p w:rsidR="00151045" w:rsidRPr="009C6C9C" w:rsidRDefault="00151045" w:rsidP="009C2DEC">
            <w:pPr>
              <w:spacing w:after="0"/>
            </w:pPr>
          </w:p>
        </w:tc>
        <w:tc>
          <w:tcPr>
            <w:tcW w:w="7071" w:type="dxa"/>
          </w:tcPr>
          <w:p w:rsidR="00151045" w:rsidRPr="001071C5" w:rsidRDefault="00151045" w:rsidP="009C2DEC">
            <w:pPr>
              <w:tabs>
                <w:tab w:val="left" w:pos="4950"/>
              </w:tabs>
              <w:spacing w:after="0"/>
              <w:rPr>
                <w:b/>
              </w:rPr>
            </w:pPr>
            <w:r w:rsidRPr="001071C5">
              <w:rPr>
                <w:b/>
              </w:rPr>
              <w:t xml:space="preserve">Metodologías de enseñanza y de aprendizaje </w:t>
            </w:r>
            <w:r w:rsidR="00B71B04" w:rsidRPr="001071C5">
              <w:rPr>
                <w:b/>
              </w:rPr>
              <w:tab/>
            </w:r>
          </w:p>
          <w:p w:rsidR="00B71B04" w:rsidRDefault="009C2DEC" w:rsidP="009C2DEC">
            <w:pPr>
              <w:tabs>
                <w:tab w:val="left" w:pos="4950"/>
              </w:tabs>
              <w:spacing w:after="0"/>
            </w:pPr>
            <w:r>
              <w:t>1.-</w:t>
            </w:r>
            <w:r w:rsidR="00B71B04">
              <w:t>Exposición dialogada</w:t>
            </w:r>
          </w:p>
          <w:p w:rsidR="00B71B04" w:rsidRDefault="009C2DEC" w:rsidP="009C2DEC">
            <w:pPr>
              <w:tabs>
                <w:tab w:val="left" w:pos="4950"/>
              </w:tabs>
              <w:spacing w:after="0"/>
            </w:pPr>
            <w:r>
              <w:t>2.-</w:t>
            </w:r>
            <w:r w:rsidR="00B71B04">
              <w:t>Lectura guiada de artículos científicos recientes</w:t>
            </w:r>
          </w:p>
          <w:p w:rsidR="00151045" w:rsidRPr="009C6C9C" w:rsidRDefault="00151045" w:rsidP="009C2DEC">
            <w:pPr>
              <w:tabs>
                <w:tab w:val="left" w:pos="4950"/>
              </w:tabs>
              <w:spacing w:after="0"/>
            </w:pPr>
          </w:p>
        </w:tc>
      </w:tr>
      <w:tr w:rsidR="00151045" w:rsidRPr="007E6EC1" w:rsidTr="00047B02">
        <w:trPr>
          <w:trHeight w:val="1760"/>
        </w:trPr>
        <w:tc>
          <w:tcPr>
            <w:tcW w:w="1757" w:type="dxa"/>
            <w:vMerge/>
          </w:tcPr>
          <w:p w:rsidR="00151045" w:rsidRPr="009C6C9C" w:rsidRDefault="00151045" w:rsidP="009C2DEC">
            <w:pPr>
              <w:spacing w:after="0"/>
            </w:pPr>
          </w:p>
        </w:tc>
        <w:tc>
          <w:tcPr>
            <w:tcW w:w="7071" w:type="dxa"/>
          </w:tcPr>
          <w:p w:rsidR="00151045" w:rsidRPr="001071C5" w:rsidRDefault="00151045" w:rsidP="009C2DEC">
            <w:pPr>
              <w:spacing w:after="0"/>
              <w:rPr>
                <w:b/>
              </w:rPr>
            </w:pPr>
            <w:r w:rsidRPr="001071C5">
              <w:rPr>
                <w:b/>
              </w:rPr>
              <w:t xml:space="preserve">Procedimientos de evaluación </w:t>
            </w:r>
          </w:p>
          <w:p w:rsidR="009112DD" w:rsidRPr="009C6C9C" w:rsidRDefault="0054415C" w:rsidP="009C2DEC">
            <w:pPr>
              <w:spacing w:after="0"/>
              <w:jc w:val="both"/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1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.-</w:t>
            </w:r>
            <w:r w:rsidR="00AF649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Presentacion de trabajos científicos del area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50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%)</w:t>
            </w:r>
            <w:r w:rsidR="006879D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,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2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.-</w:t>
            </w:r>
            <w:r w:rsidR="00AF649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Pruebas escritas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(</w:t>
            </w:r>
            <w:r w:rsidR="00AF649A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5</w:t>
            </w:r>
            <w:r w:rsidR="009112DD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0%)</w:t>
            </w:r>
            <w:r w:rsidR="006879D2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</w:t>
            </w:r>
          </w:p>
        </w:tc>
      </w:tr>
      <w:tr w:rsidR="00151045" w:rsidRPr="00B571BC" w:rsidTr="00047B02">
        <w:trPr>
          <w:trHeight w:val="1422"/>
        </w:trPr>
        <w:tc>
          <w:tcPr>
            <w:tcW w:w="1757" w:type="dxa"/>
            <w:vMerge/>
          </w:tcPr>
          <w:p w:rsidR="00151045" w:rsidRPr="009C6C9C" w:rsidRDefault="00151045" w:rsidP="00047B02"/>
        </w:tc>
        <w:tc>
          <w:tcPr>
            <w:tcW w:w="7071" w:type="dxa"/>
          </w:tcPr>
          <w:p w:rsidR="00151045" w:rsidRPr="001071C5" w:rsidRDefault="00151045" w:rsidP="00047B02">
            <w:pPr>
              <w:rPr>
                <w:b/>
              </w:rPr>
            </w:pPr>
            <w:r w:rsidRPr="001071C5">
              <w:rPr>
                <w:b/>
              </w:rPr>
              <w:t xml:space="preserve">Bibliografía básica </w:t>
            </w:r>
          </w:p>
          <w:p w:rsidR="00AF649A" w:rsidRDefault="00B71B04" w:rsidP="006879D2">
            <w:pPr>
              <w:spacing w:after="0" w:line="240" w:lineRule="auto"/>
            </w:pPr>
            <w:r>
              <w:t>Artículo</w:t>
            </w:r>
            <w:r w:rsidR="006879D2">
              <w:t>s</w:t>
            </w:r>
            <w:r>
              <w:t xml:space="preserve"> originales otorgados por los docentes de</w:t>
            </w:r>
            <w:r w:rsidR="006879D2">
              <w:t xml:space="preserve"> cada uno de los temas del cuso y generalmente derivados de </w:t>
            </w:r>
            <w:r w:rsidR="00AF649A">
              <w:t xml:space="preserve">revistas de circulación </w:t>
            </w:r>
            <w:r w:rsidR="005F7F64">
              <w:t>periódica</w:t>
            </w:r>
            <w:r w:rsidR="00AF649A">
              <w:t xml:space="preserve"> de los cuartiles Q1y Q2. </w:t>
            </w:r>
          </w:p>
          <w:p w:rsidR="00B71B04" w:rsidRDefault="006879D2" w:rsidP="006879D2">
            <w:pPr>
              <w:spacing w:after="0" w:line="240" w:lineRule="auto"/>
            </w:pPr>
            <w:r>
              <w:t>las siguientes revistas:</w:t>
            </w:r>
          </w:p>
          <w:p w:rsidR="00151045" w:rsidRPr="009C6C9C" w:rsidRDefault="00151045" w:rsidP="001942B8">
            <w:pPr>
              <w:pStyle w:val="m1520682982458013754gmail-msolistparagraph"/>
              <w:numPr>
                <w:ilvl w:val="0"/>
                <w:numId w:val="4"/>
              </w:numPr>
              <w:tabs>
                <w:tab w:val="left" w:pos="373"/>
              </w:tabs>
              <w:spacing w:before="0" w:beforeAutospacing="0" w:after="0" w:afterAutospacing="0"/>
            </w:pPr>
          </w:p>
        </w:tc>
      </w:tr>
    </w:tbl>
    <w:p w:rsidR="00B36998" w:rsidRDefault="00B36998"/>
    <w:p w:rsidR="00CA06ED" w:rsidRDefault="00CA06ED"/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lastRenderedPageBreak/>
        <w:t xml:space="preserve">CONTENDOS </w:t>
      </w: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:rsidR="00CA06ED" w:rsidRDefault="00CA06ED" w:rsidP="00CA06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tbl>
      <w:tblPr>
        <w:tblW w:w="875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31"/>
        <w:gridCol w:w="1089"/>
        <w:gridCol w:w="1582"/>
      </w:tblGrid>
      <w:tr w:rsidR="00CA06ED" w:rsidTr="00ED2689">
        <w:tc>
          <w:tcPr>
            <w:tcW w:w="4253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Tema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Profesor</w:t>
            </w: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N° Horas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Fecha</w:t>
            </w:r>
          </w:p>
        </w:tc>
      </w:tr>
      <w:tr w:rsidR="00CA06ED" w:rsidTr="00ED2689">
        <w:tc>
          <w:tcPr>
            <w:tcW w:w="4253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A06ED" w:rsidTr="00ED2689">
        <w:tc>
          <w:tcPr>
            <w:tcW w:w="4253" w:type="dxa"/>
          </w:tcPr>
          <w:p w:rsidR="00CA06ED" w:rsidRPr="00E87801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 w:rsidRPr="00E87801">
              <w:rPr>
                <w:rFonts w:ascii="Arial" w:eastAsia="Arial" w:hAnsi="Arial" w:cs="Arial"/>
                <w:color w:val="222222"/>
                <w:sz w:val="19"/>
                <w:szCs w:val="19"/>
              </w:rPr>
              <w:t>Presentación del curso</w:t>
            </w:r>
          </w:p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Seminarios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 Innata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Respuesta Inmune Adquirida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rPr>
          <w:trHeight w:val="240"/>
        </w:trPr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Seminarios Presentación de antígenos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rPr>
          <w:trHeight w:val="168"/>
        </w:trPr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Mecanismos de respuesta frente a bacterias,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Neisseria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Mecanismos de respuesta frente a bacterias, Salmonella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Default="00CA06ED" w:rsidP="00CA06ED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Seminarios</w:t>
            </w:r>
          </w:p>
        </w:tc>
        <w:tc>
          <w:tcPr>
            <w:tcW w:w="1831" w:type="dxa"/>
          </w:tcPr>
          <w:p w:rsidR="00CA06ED" w:rsidRDefault="00CA06ED" w:rsidP="00CA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</w:tcPr>
          <w:p w:rsidR="00CA06ED" w:rsidRDefault="00CA06ED" w:rsidP="00CA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CA0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Mecanismos de respuesta frente a bacterias, Salmonella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Uso de Bacterias como estimulantes del sistema inmune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Seminarios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Mecanismos de respuesta frente a virus,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IPNv</w:t>
            </w:r>
            <w:proofErr w:type="spellEnd"/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Mecanismos de respuesta frente a estrés de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reticulo</w:t>
            </w:r>
            <w:proofErr w:type="spellEnd"/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A06ED" w:rsidTr="00ED2689">
        <w:trPr>
          <w:trHeight w:val="280"/>
        </w:trPr>
        <w:tc>
          <w:tcPr>
            <w:tcW w:w="4253" w:type="dxa"/>
          </w:tcPr>
          <w:p w:rsidR="00CA06ED" w:rsidRPr="009C2DEC" w:rsidRDefault="00CA06ED" w:rsidP="00ED2689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Uso de virus en la respuesta inmune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t>Seminarios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3"/>
                <w:szCs w:val="23"/>
              </w:rPr>
            </w:pPr>
          </w:p>
        </w:tc>
      </w:tr>
      <w:tr w:rsidR="00CA06ED" w:rsidTr="00ED2689">
        <w:tc>
          <w:tcPr>
            <w:tcW w:w="4253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 xml:space="preserve">Prueba Teórica </w:t>
            </w:r>
          </w:p>
        </w:tc>
        <w:tc>
          <w:tcPr>
            <w:tcW w:w="1831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1089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1582" w:type="dxa"/>
          </w:tcPr>
          <w:p w:rsidR="00CA06ED" w:rsidRDefault="00CA06ED" w:rsidP="00ED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CA06ED" w:rsidRDefault="00CA06ED" w:rsidP="00CA06ED"/>
    <w:p w:rsidR="00CA06ED" w:rsidRDefault="00CA06ED"/>
    <w:sectPr w:rsidR="00CA06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58F8"/>
    <w:multiLevelType w:val="hybridMultilevel"/>
    <w:tmpl w:val="C8668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73DB5"/>
    <w:multiLevelType w:val="hybridMultilevel"/>
    <w:tmpl w:val="7278F30E"/>
    <w:lvl w:ilvl="0" w:tplc="15A48A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A00E4"/>
    <w:multiLevelType w:val="hybridMultilevel"/>
    <w:tmpl w:val="A39294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A0D15"/>
    <w:multiLevelType w:val="hybridMultilevel"/>
    <w:tmpl w:val="7C6254D4"/>
    <w:lvl w:ilvl="0" w:tplc="998C3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45"/>
    <w:rsid w:val="00003F31"/>
    <w:rsid w:val="00026052"/>
    <w:rsid w:val="000D2BD5"/>
    <w:rsid w:val="000F1162"/>
    <w:rsid w:val="001071C5"/>
    <w:rsid w:val="001442DE"/>
    <w:rsid w:val="00151045"/>
    <w:rsid w:val="001942B8"/>
    <w:rsid w:val="00286408"/>
    <w:rsid w:val="002F3B3E"/>
    <w:rsid w:val="00322B45"/>
    <w:rsid w:val="003457DD"/>
    <w:rsid w:val="00484A5B"/>
    <w:rsid w:val="00494851"/>
    <w:rsid w:val="004C1FEC"/>
    <w:rsid w:val="0053309E"/>
    <w:rsid w:val="0054415C"/>
    <w:rsid w:val="005C2F59"/>
    <w:rsid w:val="005F7F64"/>
    <w:rsid w:val="006879D2"/>
    <w:rsid w:val="007E5179"/>
    <w:rsid w:val="008027EB"/>
    <w:rsid w:val="008137E7"/>
    <w:rsid w:val="009109B0"/>
    <w:rsid w:val="009112DD"/>
    <w:rsid w:val="009C2DEC"/>
    <w:rsid w:val="009D5C4B"/>
    <w:rsid w:val="00A541D4"/>
    <w:rsid w:val="00A63C03"/>
    <w:rsid w:val="00AD5611"/>
    <w:rsid w:val="00AF649A"/>
    <w:rsid w:val="00B36998"/>
    <w:rsid w:val="00B401D1"/>
    <w:rsid w:val="00B71B04"/>
    <w:rsid w:val="00B95107"/>
    <w:rsid w:val="00BC2D21"/>
    <w:rsid w:val="00C644FD"/>
    <w:rsid w:val="00CA06ED"/>
    <w:rsid w:val="00CB2462"/>
    <w:rsid w:val="00CC516C"/>
    <w:rsid w:val="00CC7813"/>
    <w:rsid w:val="00CE4766"/>
    <w:rsid w:val="00D163C9"/>
    <w:rsid w:val="00D8647B"/>
    <w:rsid w:val="00E406FF"/>
    <w:rsid w:val="00EE22A3"/>
    <w:rsid w:val="00F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25D071-2DCD-412A-989D-AE038B8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045"/>
  </w:style>
  <w:style w:type="paragraph" w:styleId="Ttulo1">
    <w:name w:val="heading 1"/>
    <w:basedOn w:val="Normal"/>
    <w:next w:val="Normal"/>
    <w:link w:val="Ttulo1Car"/>
    <w:uiPriority w:val="9"/>
    <w:qFormat/>
    <w:rsid w:val="00151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1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4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4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406FF"/>
    <w:pPr>
      <w:ind w:left="720"/>
      <w:contextualSpacing/>
    </w:pPr>
  </w:style>
  <w:style w:type="character" w:customStyle="1" w:styleId="m-5310872120124149421gmail-il">
    <w:name w:val="m_-5310872120124149421gmail-il"/>
    <w:basedOn w:val="Fuentedeprrafopredeter"/>
    <w:rsid w:val="009112DD"/>
  </w:style>
  <w:style w:type="paragraph" w:customStyle="1" w:styleId="m1520682982458013754gmail-msolistparagraph">
    <w:name w:val="m_1520682982458013754gmail-msolistparagraph"/>
    <w:basedOn w:val="Normal"/>
    <w:rsid w:val="0068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DIPOST</dc:creator>
  <cp:lastModifiedBy>Giselle Alejandra Aspee Dominguez (giselle.aspee)</cp:lastModifiedBy>
  <cp:revision>2</cp:revision>
  <cp:lastPrinted>2014-03-12T20:15:00Z</cp:lastPrinted>
  <dcterms:created xsi:type="dcterms:W3CDTF">2019-07-22T15:36:00Z</dcterms:created>
  <dcterms:modified xsi:type="dcterms:W3CDTF">2019-07-22T15:36:00Z</dcterms:modified>
</cp:coreProperties>
</file>