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b w:val="1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6876" cy="447490"/>
                <wp:effectExtent b="0" l="0" r="0" t="0"/>
                <wp:docPr descr="officeArt object" id="10737418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2562" y="3556255"/>
                          <a:ext cx="2126876" cy="447490"/>
                          <a:chOff x="4282562" y="3556255"/>
                          <a:chExt cx="2126876" cy="447490"/>
                        </a:xfrm>
                      </wpg:grpSpPr>
                      <wpg:grpSp>
                        <wpg:cNvGrpSpPr/>
                        <wpg:grpSpPr>
                          <a:xfrm>
                            <a:off x="4282562" y="3556255"/>
                            <a:ext cx="2126876" cy="447490"/>
                            <a:chOff x="4282562" y="3556254"/>
                            <a:chExt cx="2126878" cy="44749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82562" y="3556254"/>
                              <a:ext cx="2126875" cy="44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82562" y="3556254"/>
                              <a:ext cx="2126878" cy="447492"/>
                              <a:chOff x="0" y="-1"/>
                              <a:chExt cx="2126877" cy="44749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2126875" cy="447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2126877" cy="44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image.jpeg" id="7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-1"/>
                                <a:ext cx="2126877" cy="447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6876" cy="447490"/>
                <wp:effectExtent b="0" l="0" r="0" t="0"/>
                <wp:docPr descr="officeArt object" id="1073741829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6876" cy="4474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ACTIVIDAD CURRICULAR</w:t>
      </w:r>
    </w:p>
    <w:tbl>
      <w:tblPr>
        <w:tblStyle w:val="Table1"/>
        <w:tblW w:w="1242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86"/>
        <w:gridCol w:w="10440"/>
        <w:tblGridChange w:id="0">
          <w:tblGrid>
            <w:gridCol w:w="1986"/>
            <w:gridCol w:w="10440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Taller de Montaje y Titulación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Course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Production &amp; Degree Workshop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TMOT232-510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Unidad académica/ organismo de la unidad académica que lo desarrolla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Departamento de Danza, Facultad de Artes, Universidad de Chile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Carácter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Semestral – Obligatorio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créditos SCT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 créditos – 324 horas docentes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Línea de Formación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Formación Especializada (FE)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 Semestre (II Semestre – Ciclo Especializado: Intérprete con mención en Danza)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Requisitos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Todas las actividades curriculares del IX Semestre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Competencias específicas a las que contribuye el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Competencia 2.6: Crea montaje coreográfico de danza contemporánea de forma autónoma, en procesos individuales y/o  colaborativos e interdisciplinares.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Competencia 5.8 Gestionar y producir su quehacer dancístico.</w:t>
            </w:r>
          </w:p>
        </w:tc>
      </w:tr>
      <w:tr>
        <w:trPr>
          <w:trHeight w:val="2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Sub-competencias específicas a las que contribuye el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2.6.1 Creando lenguaje coreográfico a partir del movimiento corporal  y acorde a la propuesta creativa.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2.6.2 Implementando estrategias y dispositivos, que se vinculan con los procesos creativos y la puesta en escena.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2.6.3 Manejando estrategias de producción y escenificación coreográfica para la conceptualización e implementación y presentación del montaje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5.8.1 Desarrollando proyectos que relacionen su quehacer dancístico con diferentes contextos sociales, artísticos y culturales.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5.8.2 Planificando las actividades del proceso de creación y montaje escénico.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5.8.3 Organizando los  recursos humanos y materiales  pertinentes para la realización de la obra.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Propósito Formativo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Actividad curricular en que el/la estudiante continúa y concluye la realización de la pieza coreográfica iniciada en Taller de montaje (solo o dúo) que aborda su pregunta de investigación de titulación de manera práctica, en este proceso es acompañado/a por un/a profesor/a guía que orienta el trabajo de creación/investigación en relación al planteamiento desarrollado en Seminario de título. Este curso considera también ensayos del trabajo resultante del Taller de Interpretación Avanzado, ya que ambos trabajos serán presentados a público en un ciclo de funciones.</w:t>
            </w:r>
          </w:p>
        </w:tc>
      </w:tr>
      <w:tr>
        <w:trPr>
          <w:trHeight w:val="4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Competencias genéricas transversales a las que contribuye el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2.- Capacidad crítica: examinar objetos conceptuales y situaciones a partir de criterios teóricos, metodológicos e ideológicos, proponiendo interpretaciones fundadas y juicios evaluativos.</w:t>
              <w:br w:type="textWrapping"/>
              <w:br w:type="textWrapping"/>
              <w:t xml:space="preserve">3.- Capacidad autocrítica: 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5.- Valoración y respeto por la diversidad y multiculturalidad: reconocer, comprender y aceptar las diferencias, valorándolas y aprendiendo de ellas para enriquecer su participación, compromiso y aporte a los derechos de toda persona y al desarrollo armónico y respetuoso de la sociedad.</w:t>
              <w:br w:type="textWrapping"/>
              <w:br w:type="textWrapping"/>
              <w:t xml:space="preserve">6.- Capacidad de trabajo en equipo: participar activamente, de manera responsable y colaborativa en funciones encomendadas con integrantes del equipo para el logro de objetivos comunes.</w:t>
              <w:br w:type="textWrapping"/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a"/>
                <w:rtl w:val="0"/>
              </w:rPr>
              <w:t xml:space="preserve">8.-Capacidad de expresión escrita: Expresarse por escrito, en el lenguaje formal culto, abordando tópicos de la profesión, de la ciencia, de la sociedad y la ciudadanía.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70.69010416666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Resultados de aprendizaje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Escenifica un dispositivo escénico de autoria: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Rule="auto"/>
              <w:ind w:left="144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Investiga desde su práctica interpretativa, articulando su experiencia autoral con un campo teórico.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Crea</w:t>
            </w:r>
            <w:r w:rsidDel="00000000" w:rsidR="00000000" w:rsidRPr="00000000">
              <w:rPr>
                <w:rtl w:val="0"/>
              </w:rPr>
              <w:t xml:space="preserve"> un dispositivo escénico en coherencia con su propuesta investigativa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Rule="auto"/>
              <w:ind w:left="1440" w:hanging="360"/>
              <w:jc w:val="both"/>
            </w:pPr>
            <w:r w:rsidDel="00000000" w:rsidR="00000000" w:rsidRPr="00000000">
              <w:rPr>
                <w:rtl w:val="0"/>
              </w:rPr>
              <w:t xml:space="preserve">Gestiona, produce y presenta/comparte de manera pública su obra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left="1440" w:firstLine="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Saberes / Contenidos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Interpretación :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Articulación entre su investigación y su experiencias de la práctica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Registro Interpretativo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Escenificacion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Estrategias de composición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Lenguaje corporal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Temporalidad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Espacialidad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Visualidad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Sonoridad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Gestión y Producción 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Articulacion entre contextos e investigación desde la práctica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Investigación: 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Investigación desde la práctica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Perspectivas relacionales, críticas y situadas a su investigación autoral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Metodologías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hanging="7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Este c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curso utilizará una metodología basada en la experiencia práctica/reflexiva para alcanzar los resultados de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aprendizajes propuestos, entendiéndose que se trata de un proceso que involucra el saber, la investigación, preguntas y análisis constante sobre su práctica.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planteará como un aspecto importante que el/la estudiante aprenda de su propia experiencia en las prácticas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desarrolladas por ella/él durante el periodo de “ensayos”, generando así oportunidades para que analice el proceso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 resultados de sus trabajos, vinculandola con la escritura. 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estimulará el comunicar y compartir sus experiencias y reflexiones tanto con la profesora a cargo como con distintas personas (sus pares y docentes) para retroalimentar el proceso en las distintas fases de este.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Cada proyecto cuenta con un/a profesor/a guía, 3.0 horas a la semana, quien coloca 2 notas durante el semestre.</w:t>
            </w:r>
          </w:p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curso cuenta con una profesora de gestión que acompaña a todos/as los/as estudiantes en aula, 1.5 horas semanales, quien coloca 1 nota durante el semestre.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Además se considera 1.5 horas para ensayo de la obra creada en Taller de Interpretación Avanzado.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Requisitos de aprobación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Según Decreto Exento 6676 en cuanto asistencia (artículos 7°, 8° y 10°) y nota (artículos 11°, 12° y 14°), esto es: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Asistencia mínima 85% para aprobar (artículo 7°)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Nota de aprobación 4,0 (artículo 14°), salvo problemas de asistencia justificados de acuerdo con el artículo 8°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Dar examen práctico obligatorio (acorde al artículo 10°)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Palabras clave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7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ind w:left="9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Investigar – Practicar – Observar – reflexionar- construir – cuestionar – Seleccionar – Fundamentar - Relacionar</w:t>
            </w:r>
          </w:p>
        </w:tc>
      </w:tr>
      <w:tr>
        <w:trPr>
          <w:trHeight w:val="2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Bibliografía obligatoria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Bibliografía se definirá según cada proyecto. </w:t>
            </w:r>
          </w:p>
        </w:tc>
      </w:tr>
      <w:tr>
        <w:trPr>
          <w:trHeight w:val="1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3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ind w:left="150" w:firstLine="0"/>
              <w:rPr/>
            </w:pPr>
            <w:r w:rsidDel="00000000" w:rsidR="00000000" w:rsidRPr="00000000">
              <w:rPr>
                <w:rtl w:val="0"/>
              </w:rPr>
              <w:t xml:space="preserve">Bibliografía complementaria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7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Bibliografía se definirá según cada proyecto. </w:t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200" w:line="240" w:lineRule="auto"/>
        <w:ind w:left="108" w:hanging="10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2.%3."/>
      <w:lvlJc w:val="left"/>
      <w:pPr>
        <w:ind w:left="1980" w:hanging="12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2642" w:hanging="122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2.%3.%4.%5."/>
      <w:lvlJc w:val="left"/>
      <w:pPr>
        <w:ind w:left="3362" w:hanging="12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2.%3.%4.%5.%6."/>
      <w:lvlJc w:val="left"/>
      <w:pPr>
        <w:ind w:left="4140" w:hanging="12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4802" w:hanging="122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2.%3.%4.%5.%6.%7.%8."/>
      <w:lvlJc w:val="left"/>
      <w:pPr>
        <w:ind w:left="5522" w:hanging="122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2.%3.%4.%5.%6.%7.%8.%9."/>
      <w:lvlJc w:val="left"/>
      <w:pPr>
        <w:ind w:left="6300" w:hanging="122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</w:pPr>
    <w:rPr>
      <w:color w:val="000000"/>
      <w:u w:color="000000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ceraypie" w:customStyle="1">
    <w:name w:val="Cabecera y pie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</w:rPr>
  </w:style>
  <w:style w:type="character" w:styleId="Ninguno" w:customStyle="1">
    <w:name w:val="Ninguno"/>
  </w:style>
  <w:style w:type="paragraph" w:styleId="Prrafodelista">
    <w:name w:val="List Paragraph"/>
    <w:pPr>
      <w:suppressAutoHyphens w:val="1"/>
      <w:ind w:left="720"/>
    </w:pPr>
    <w:rPr>
      <w:color w:val="000000"/>
      <w:u w:color="000000"/>
    </w:rPr>
  </w:style>
  <w:style w:type="paragraph" w:styleId="Poromisin" w:customStyle="1">
    <w:name w:val="Por omisión"/>
    <w:rPr>
      <w:rFonts w:ascii="Helvetica Neue" w:cs="Arial Unicode MS" w:hAnsi="Helvetica Neue"/>
      <w:color w:val="000000"/>
      <w:lang w:val="it-IT"/>
    </w:rPr>
  </w:style>
  <w:style w:type="character" w:styleId="Hyperlink0" w:customStyle="1">
    <w:name w:val="Hyperlink.0"/>
    <w:basedOn w:val="Hipervnculo"/>
    <w:rPr>
      <w:color w:val="0000ff"/>
      <w:u w:color="0000ff"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JjZM+lP0cB8ll9cXY+aOSbQBA==">AMUW2mUpcqDer3do5cP4xLsmvAt2qJPOchxAB4NHaMsJcgY3WGfPZuubqEcwNCfV1lQ+Y6uT85/X3wY2EHQO6lSfBvQUICS/1h+lqiqlT2Sj2OZxjeFwLyM=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2019-07-18T19:38:00Z</dcterms:created>
  <dc:creator>Nancy Vasquez</dc:creator>
</cp:coreProperties>
</file>